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FD5605" w14:textId="77777777" w:rsidR="001A60BD" w:rsidRDefault="001A60BD" w:rsidP="001A60BD"/>
    <w:p w14:paraId="23D9D6C2" w14:textId="77777777" w:rsidR="001A60BD" w:rsidRPr="008C4704" w:rsidRDefault="001A60BD" w:rsidP="001A60BD">
      <w:pPr>
        <w:pStyle w:val="ListParagraph"/>
        <w:numPr>
          <w:ilvl w:val="0"/>
          <w:numId w:val="1"/>
        </w:numPr>
        <w:rPr>
          <w:rFonts w:ascii="Times New Roman" w:hAnsi="Times New Roman" w:cs="Times New Roman"/>
          <w:b/>
          <w:bCs/>
        </w:rPr>
      </w:pPr>
      <w:r w:rsidRPr="008C4704">
        <w:rPr>
          <w:rFonts w:ascii="Times New Roman" w:hAnsi="Times New Roman" w:cs="Times New Roman"/>
          <w:b/>
          <w:bCs/>
        </w:rPr>
        <w:t xml:space="preserve">Introduction </w:t>
      </w:r>
    </w:p>
    <w:p w14:paraId="77109B41" w14:textId="77777777" w:rsidR="001A60BD" w:rsidRPr="00BE2836" w:rsidRDefault="001A60BD" w:rsidP="001A60BD"/>
    <w:p w14:paraId="5320F117" w14:textId="77777777" w:rsidR="001A60BD" w:rsidRPr="00201BC3" w:rsidRDefault="001A60BD" w:rsidP="001A60BD">
      <w:r w:rsidRPr="00201BC3">
        <w:t xml:space="preserve">The concept of transparency has received a great deal of attention in the philosophy of science literature, especially as it relates to communicating scientific studies and findings to non-experts. </w:t>
      </w:r>
    </w:p>
    <w:p w14:paraId="31CDEF86" w14:textId="77777777" w:rsidR="001A60BD" w:rsidRPr="00201BC3" w:rsidRDefault="001A60BD" w:rsidP="001A60BD">
      <w:r w:rsidRPr="00201BC3">
        <w:t xml:space="preserve">Many philosophers claim that transparency is important for establishing public trust in science (Douglas 2009; Elliott 2017; </w:t>
      </w:r>
      <w:proofErr w:type="spellStart"/>
      <w:r w:rsidRPr="00201BC3">
        <w:t>Kitcher</w:t>
      </w:r>
      <w:proofErr w:type="spellEnd"/>
      <w:r w:rsidRPr="00201BC3">
        <w:t xml:space="preserve"> 2011; I. de Melo-Martin and </w:t>
      </w:r>
      <w:proofErr w:type="spellStart"/>
      <w:r w:rsidRPr="00201BC3">
        <w:t>Intemann</w:t>
      </w:r>
      <w:proofErr w:type="spellEnd"/>
      <w:r w:rsidRPr="00201BC3">
        <w:t xml:space="preserve"> 2018; </w:t>
      </w:r>
      <w:proofErr w:type="spellStart"/>
      <w:r w:rsidRPr="00201BC3">
        <w:t>Stanev</w:t>
      </w:r>
      <w:proofErr w:type="spellEnd"/>
      <w:r w:rsidRPr="00201BC3">
        <w:t xml:space="preserve"> 2017; Williams 2002) whereas some philosophers instead argue that transparency about scientific practices could actually promote unwarranted skepticism (John 2018; </w:t>
      </w:r>
      <w:proofErr w:type="spellStart"/>
      <w:r w:rsidRPr="00201BC3">
        <w:t>Kovaka</w:t>
      </w:r>
      <w:proofErr w:type="spellEnd"/>
      <w:r w:rsidRPr="00201BC3">
        <w:t xml:space="preserve"> 2019). Despite their disagreements, both camps similarly claim that transparency plays a particularly important causal role in shaping the general public’s perception of science. </w:t>
      </w:r>
    </w:p>
    <w:p w14:paraId="446ABE4C" w14:textId="77777777" w:rsidR="001A60BD" w:rsidRPr="00201BC3" w:rsidRDefault="001A60BD" w:rsidP="001A60BD">
      <w:r w:rsidRPr="00201BC3">
        <w:tab/>
        <w:t xml:space="preserve">Non-experts hold a particular folk philosophy of science, or a set of idealized assumptions concerning how science should work that sometimes conflicts with actual scientific methodology (John 2018; </w:t>
      </w:r>
      <w:proofErr w:type="spellStart"/>
      <w:r w:rsidRPr="00201BC3">
        <w:t>Kovaka</w:t>
      </w:r>
      <w:proofErr w:type="spellEnd"/>
      <w:r w:rsidRPr="00201BC3">
        <w:t xml:space="preserve"> 2019). For example, non-experts often assume scientific consensus is much more common than it actually is. Another common folk view of scientific methodology is that the social structures of science should always encourage debate when, in fact, shutting down certain positions is often epistemically useful and important. The worry is that if scientists are completely transparent, they will expose non-experts to practices that conflict with their folk philosophical assumptions, thus causing more skepticism in science. It is important to note that some defenders of transparency agree that skepticism in science is often caused by a discordance between actual scientific practice and non-</w:t>
      </w:r>
      <w:proofErr w:type="gramStart"/>
      <w:r w:rsidRPr="00201BC3">
        <w:t>experts’</w:t>
      </w:r>
      <w:proofErr w:type="gramEnd"/>
      <w:r w:rsidRPr="00201BC3">
        <w:t xml:space="preserve"> assumptions. For example, Douglas (2015) and Elliott (2017) claim public trust in science only has the hope of being successful if transparency is coupled with proper philosophy of science education. </w:t>
      </w:r>
    </w:p>
    <w:p w14:paraId="4E13428C" w14:textId="77777777" w:rsidR="001A60BD" w:rsidRPr="00201BC3" w:rsidRDefault="001A60BD" w:rsidP="001A60BD">
      <w:r w:rsidRPr="00201BC3">
        <w:tab/>
        <w:t>However, if we want to better understand what role transparency plays in the public’s perception of scientific claims, we must realize that the issue is multifaceted and complex. In this paper, I argue that claiming we shouldn’t be transparent because non-experts hold a false folk philosophy of science oversimplifies the issue.</w:t>
      </w:r>
      <w:r w:rsidRPr="00201BC3">
        <w:rPr>
          <w:b/>
          <w:bCs/>
        </w:rPr>
        <w:t xml:space="preserve"> </w:t>
      </w:r>
      <w:r w:rsidRPr="00201BC3">
        <w:t xml:space="preserve">When determining whether transparency will bolster or hinder public trust in science, we must first consider the way scientific information is being communicated to the public. More specifically, we should ask ourselves: ‘has this scientific topic been politicized?’ and ‘are special interest groups playing a role in the dissemination of the scientific information?’. Answering these questions is essential to determining the effectiveness of transparency. This is because, transparency is only effective if the public receives an accurate, unbiased account of what most scientists actually claim. </w:t>
      </w:r>
    </w:p>
    <w:p w14:paraId="4240727B" w14:textId="77777777" w:rsidR="001A60BD" w:rsidRPr="00201BC3" w:rsidRDefault="001A60BD" w:rsidP="001A60BD">
      <w:pPr>
        <w:ind w:firstLine="720"/>
      </w:pPr>
      <w:r w:rsidRPr="00201BC3">
        <w:t>In order to support the claim that the transparency debate in philosophy is mistakenly focused on non-</w:t>
      </w:r>
      <w:proofErr w:type="gramStart"/>
      <w:r w:rsidRPr="00201BC3">
        <w:t>experts’</w:t>
      </w:r>
      <w:proofErr w:type="gramEnd"/>
      <w:r w:rsidRPr="00201BC3">
        <w:t xml:space="preserve"> knowledge of scientific methodology, I first outline Stephen John’s argument against transparency (section 2). John uses Climategate—an incident where climate scientists’ emails were leaked—to support his claim that transparency can hinder public trust in science when scientific methodology diverges from the public’s folk philosophy of science. I argue that this example doesn’t serve as a general argument against transparency (section 3). This is because, it isn’t clear that what caused climate skepticism was a transparent presentation of climate science methodology. Instead, special interest groups and conservative media presented the climate scientists’ emails and methodological approaches as unscientific and pernicious. I then discuss how we still see skepticism in science in cases where experts’ methodological approaches fit with the public’s idealistic assumptions of proper scientific methodology (section 4). This further supports my argument that agreement with a folk philosophy of science isn’t the most important factor when it comes to transparency. </w:t>
      </w:r>
      <w:r>
        <w:t xml:space="preserve">I then </w:t>
      </w:r>
      <w:r>
        <w:lastRenderedPageBreak/>
        <w:t xml:space="preserve">consider an example where transparency bolstered public trust in science, despite methodological disagreements between experts and non-experts (section 5). </w:t>
      </w:r>
      <w:r w:rsidRPr="00201BC3">
        <w:t>Finally, I discuss why answering the t</w:t>
      </w:r>
      <w:r>
        <w:t xml:space="preserve">wo </w:t>
      </w:r>
      <w:r w:rsidRPr="00201BC3">
        <w:t xml:space="preserve">related questions: ‘has the scientific topic been politicized?’, and ‘are special interest groups playing a role in the dissemination of scientific information?’ is fundamental in determining the relevance of transparency (section </w:t>
      </w:r>
      <w:r>
        <w:t>6</w:t>
      </w:r>
      <w:r w:rsidRPr="00201BC3">
        <w:t xml:space="preserve">). </w:t>
      </w:r>
    </w:p>
    <w:p w14:paraId="16E40F9F" w14:textId="257062F0" w:rsidR="00E048BC" w:rsidRDefault="00E048BC"/>
    <w:p w14:paraId="3319A33D" w14:textId="77777777" w:rsidR="001A60BD" w:rsidRPr="008C4704" w:rsidRDefault="001A60BD" w:rsidP="001A60BD">
      <w:pPr>
        <w:pStyle w:val="ListParagraph"/>
        <w:numPr>
          <w:ilvl w:val="0"/>
          <w:numId w:val="1"/>
        </w:numPr>
        <w:rPr>
          <w:rFonts w:ascii="Times New Roman" w:hAnsi="Times New Roman" w:cs="Times New Roman"/>
          <w:b/>
          <w:bCs/>
        </w:rPr>
      </w:pPr>
      <w:r w:rsidRPr="008C4704">
        <w:rPr>
          <w:rFonts w:ascii="Times New Roman" w:hAnsi="Times New Roman" w:cs="Times New Roman"/>
          <w:b/>
          <w:bCs/>
        </w:rPr>
        <w:t xml:space="preserve">John’s argument against transparency </w:t>
      </w:r>
    </w:p>
    <w:p w14:paraId="79982483" w14:textId="77777777" w:rsidR="001A60BD" w:rsidRPr="00BE2836" w:rsidRDefault="001A60BD" w:rsidP="001A60BD"/>
    <w:p w14:paraId="5CBDAF1F" w14:textId="77777777" w:rsidR="001A60BD" w:rsidRPr="00BE2836" w:rsidRDefault="001A60BD" w:rsidP="001A60BD">
      <w:r w:rsidRPr="00BE2836">
        <w:t xml:space="preserve">Stephen John claims that transparency can destroy non-experts’ trust in science. To support this </w:t>
      </w:r>
      <w:proofErr w:type="gramStart"/>
      <w:r w:rsidRPr="00BE2836">
        <w:t>claim</w:t>
      </w:r>
      <w:proofErr w:type="gramEnd"/>
      <w:r w:rsidRPr="00BE2836">
        <w:t xml:space="preserve"> he first discusses how non-experts learn from experts. John claims that learning from experts can be modelled as a two-premise inference. The idea here is that our everyday practices of deference to scientific experts are grounded in these two general assumptions. The first premise is what he calls the sociological premise. According to the sociological premise:  </w:t>
      </w:r>
    </w:p>
    <w:p w14:paraId="73F42A13" w14:textId="77777777" w:rsidR="001A60BD" w:rsidRPr="00BE2836" w:rsidRDefault="001A60BD" w:rsidP="001A60BD"/>
    <w:p w14:paraId="78FF17BB" w14:textId="77777777" w:rsidR="001A60BD" w:rsidRPr="00BE2836" w:rsidRDefault="001A60BD" w:rsidP="001A60BD">
      <w:pPr>
        <w:rPr>
          <w:sz w:val="20"/>
          <w:szCs w:val="20"/>
        </w:rPr>
      </w:pPr>
      <w:r w:rsidRPr="00BE2836">
        <w:rPr>
          <w:sz w:val="20"/>
          <w:szCs w:val="20"/>
        </w:rPr>
        <w:t xml:space="preserve">Institutional structures are such that the best explanation for the factual content of some claim (made by a scientist, or group, or subject to some consensus) is that this claim meets scientific ‘epistemic standards’ for proper acceptance (John, 77). </w:t>
      </w:r>
    </w:p>
    <w:p w14:paraId="6D3E5273" w14:textId="77777777" w:rsidR="001A60BD" w:rsidRPr="00BE2836" w:rsidRDefault="001A60BD" w:rsidP="001A60BD"/>
    <w:p w14:paraId="0AEDE6D0" w14:textId="77777777" w:rsidR="001A60BD" w:rsidRPr="00BE2836" w:rsidRDefault="001A60BD" w:rsidP="001A60BD">
      <w:r w:rsidRPr="00BE2836">
        <w:t xml:space="preserve">The sociological premise states that institutional structures of epistemic groups typically ensure that its members only assert and accept claims when those claims meet community-based standards. However, standards for acceptance between different epistemic communities greatly varies and so the sociological premise alone does not tell us when we are warranted in accepting the claims of a particular epistemic communities. For example, the sociological premise holds true for a group of highly regarded astrologers—they only assert claims that meet astrological standards for assertion. Despite this fact, it is obvious that consensus amongst astrologers about some claim does not carry as much epistemic weight as a report of consensus amongst scientist about a claim. This leads us to what John calls the epistemological premise or the idea that we all implicitly assume that </w:t>
      </w:r>
    </w:p>
    <w:p w14:paraId="63BC75BA" w14:textId="77777777" w:rsidR="001A60BD" w:rsidRPr="00BE2836" w:rsidRDefault="001A60BD" w:rsidP="001A60BD"/>
    <w:p w14:paraId="4FFD5B4D" w14:textId="77777777" w:rsidR="001A60BD" w:rsidRPr="00BE2836" w:rsidRDefault="001A60BD" w:rsidP="001A60BD">
      <w:pPr>
        <w:rPr>
          <w:sz w:val="20"/>
          <w:szCs w:val="20"/>
        </w:rPr>
      </w:pPr>
      <w:r w:rsidRPr="00BE2836">
        <w:rPr>
          <w:sz w:val="20"/>
          <w:szCs w:val="20"/>
        </w:rPr>
        <w:t>if some claim meets scientific epistemic standards for proper acceptance, then I should accept that claim as well (John, 77).</w:t>
      </w:r>
    </w:p>
    <w:p w14:paraId="45A4870B" w14:textId="77777777" w:rsidR="001A60BD" w:rsidRPr="00BE2836" w:rsidRDefault="001A60BD" w:rsidP="001A60BD"/>
    <w:p w14:paraId="53DD8451" w14:textId="77777777" w:rsidR="001A60BD" w:rsidRPr="00BE2836" w:rsidRDefault="001A60BD" w:rsidP="001A60BD">
      <w:r w:rsidRPr="00BE2836">
        <w:t xml:space="preserve">Unlike other domains of inquiry, most people living in modern societies agree that the epistemic standards characteristic of scientific research communities should govern our beliefs. The scientific community can be contrasted with the astrological community, where we do not hold an analogous assumption when it comes to the astrological standards for proper acceptance. </w:t>
      </w:r>
    </w:p>
    <w:p w14:paraId="7429F0AA" w14:textId="77777777" w:rsidR="001A60BD" w:rsidRPr="00BE2836" w:rsidRDefault="001A60BD" w:rsidP="001A60BD">
      <w:pPr>
        <w:ind w:firstLine="720"/>
      </w:pPr>
      <w:r w:rsidRPr="00BE2836">
        <w:t xml:space="preserve">John’s account of how non-experts learn from a scientific community rests heavily on the notion that the institutional structures of science ensure that only claims that meet rigorous epistemic standards are accepted. For example, some rigorous epistemic standards of science include replicability, peer-review, statistical significance—all of which require transparency between scientists. Since transparency within the scientific community is required to meet epistemic standards, it may seem “unreasonable—or even unethical” for scientific experts to withhold information from non-experts (p. 80). </w:t>
      </w:r>
    </w:p>
    <w:p w14:paraId="0802906A" w14:textId="77777777" w:rsidR="001A60BD" w:rsidRPr="00BE2836" w:rsidRDefault="001A60BD" w:rsidP="001A60BD">
      <w:pPr>
        <w:ind w:firstLine="720"/>
      </w:pPr>
      <w:r w:rsidRPr="00BE2836">
        <w:t xml:space="preserve">Nevertheless, John argues that scientists need not follow the norm of transparency when communicating to non-experts. According to John, transparency about knowledge production does not necessarily promote the flow of true beliefs among non-experts. The reason why has to do with the fact that non-experts often have false ideas about how scientific methodology works. </w:t>
      </w:r>
      <w:r w:rsidRPr="00BE2836">
        <w:lastRenderedPageBreak/>
        <w:t xml:space="preserve">In other words, non-experts can have false beliefs about what epistemic practices make the sociological premise true. These incorrect assumptions non-experts have about how science should work is what John calls a “folk philosophy of science” (p. 80). Some examples of a folk philosophy of science include the belief that there is usually consensus in the scientific community and that lack of consensus indicates there is no fact of the matter. Another example is that the social structures of science should always encourage debate and discussion when, in fact, shutting down certain views is sometimes epistemically useful. </w:t>
      </w:r>
    </w:p>
    <w:p w14:paraId="656AE049" w14:textId="77777777" w:rsidR="001A60BD" w:rsidRPr="00BE2836" w:rsidRDefault="001A60BD" w:rsidP="001A60BD">
      <w:pPr>
        <w:ind w:firstLine="720"/>
      </w:pPr>
      <w:r w:rsidRPr="00BE2836">
        <w:t xml:space="preserve">John highlights this point through the example of Climategate, an incident where 1,000 emails between climate scientists at the Climate Research Unity (CRU) of the U.K.’s University of East Anglia were leaked (John, 2018). Climate skeptics claim that these emails show scientific misconduct that amounts to fabrication of anthropocentric climate change. More specifically, skeptics claimed that these emails showed that climate scientists at the University of East Anglia were engaging in unscientific practices including confusing correlation with causation, refusing to publish papers by certain authors, refusing to include certain data sets in their analysis and making assertions based on uncertain modeling work. Since non-experts have a false folk philosophy of science, they were easily convinced that these practices are unscientific when, in fact, such practices are typical and acceptable within the scientific community. For example, as John states, inferring causation from sufficient types and kinds of correlations is justifiable scientific procedure (Papineau 2012); refusing to publish certain research is often necessary to promote progressive research projects (Lakatos 1978); and discarding recalcitrant or unusual data sets is a warranted response to uncertainties in data collection (McAllister 2012). </w:t>
      </w:r>
    </w:p>
    <w:p w14:paraId="502B500C" w14:textId="77777777" w:rsidR="001A60BD" w:rsidRPr="00BE2836" w:rsidRDefault="001A60BD" w:rsidP="001A60BD">
      <w:pPr>
        <w:ind w:firstLine="720"/>
      </w:pPr>
      <w:r w:rsidRPr="00BE2836">
        <w:t xml:space="preserve">As a result, non-expert trust in science is often warranted yet fragile—if a non-expert learns a scientist reaches her results in a way that deviates from a folk philosophy of science, then the non-expert is likely to remove her trust. It is for this reason John claims that demands that scientists should be transparent about the research process to non-experts are not well grounded. As long as non-experts hold a false folk philosophy of science, transparency can be epistemically harmful, as we saw in the example of Climategate.  </w:t>
      </w:r>
    </w:p>
    <w:p w14:paraId="28AABC0B" w14:textId="77777777" w:rsidR="001A60BD" w:rsidRPr="00BE2836" w:rsidRDefault="001A60BD" w:rsidP="001A60BD">
      <w:r w:rsidRPr="00BE2836">
        <w:tab/>
        <w:t>One may wonder why the solution to the problem John presents is to limit transparency between experts and non-experts. One might think that the natural solution is to combat non-</w:t>
      </w:r>
      <w:proofErr w:type="gramStart"/>
      <w:r w:rsidRPr="00BE2836">
        <w:t>experts’</w:t>
      </w:r>
      <w:proofErr w:type="gramEnd"/>
      <w:r w:rsidRPr="00BE2836">
        <w:t xml:space="preserve"> folk philosophy of science. If non-experts knew how scientific theorizing really worked, then experts could be transparent with non-experts in the same way experts are transparent between one another. John agrees that the long-term goal should be to change non-</w:t>
      </w:r>
      <w:proofErr w:type="gramStart"/>
      <w:r w:rsidRPr="00BE2836">
        <w:t>experts’</w:t>
      </w:r>
      <w:proofErr w:type="gramEnd"/>
      <w:r w:rsidRPr="00BE2836">
        <w:t xml:space="preserve"> folk philosophy of science through science education reform. Unfortunately, when it comes to climate science, we cannot wait for a better world as immediate action is needed to mitigate anthropocentric climate change. Thus, John concludes that the long-term benefits of transparency does not outweigh the short-term costs. </w:t>
      </w:r>
    </w:p>
    <w:p w14:paraId="38FCCA1D" w14:textId="77777777" w:rsidR="001A60BD" w:rsidRPr="00BE2836" w:rsidRDefault="001A60BD" w:rsidP="001A60BD">
      <w:r w:rsidRPr="00BE2836">
        <w:tab/>
        <w:t xml:space="preserve">It is important to note that John isn’t alone in focusing on non-experts’ misguided views on scientific methodology when discussing public skepticism in science. For instance, Karen </w:t>
      </w:r>
      <w:proofErr w:type="spellStart"/>
      <w:r w:rsidRPr="00BE2836">
        <w:t>Kovaka</w:t>
      </w:r>
      <w:proofErr w:type="spellEnd"/>
      <w:r w:rsidRPr="00BE2836">
        <w:t xml:space="preserve"> has similarly </w:t>
      </w:r>
      <w:proofErr w:type="gramStart"/>
      <w:r w:rsidRPr="00BE2836">
        <w:t>claims</w:t>
      </w:r>
      <w:proofErr w:type="gramEnd"/>
      <w:r w:rsidRPr="00BE2836">
        <w:t xml:space="preserve"> that </w:t>
      </w:r>
    </w:p>
    <w:p w14:paraId="54E28563" w14:textId="77777777" w:rsidR="001A60BD" w:rsidRPr="00BE2836" w:rsidRDefault="001A60BD" w:rsidP="001A60BD"/>
    <w:p w14:paraId="1124126A" w14:textId="77777777" w:rsidR="001A60BD" w:rsidRPr="00BE2836" w:rsidRDefault="001A60BD" w:rsidP="001A60BD">
      <w:pPr>
        <w:rPr>
          <w:sz w:val="20"/>
          <w:szCs w:val="20"/>
        </w:rPr>
      </w:pPr>
      <w:r w:rsidRPr="00BE2836">
        <w:rPr>
          <w:sz w:val="20"/>
          <w:szCs w:val="20"/>
        </w:rPr>
        <w:t>dispelling misconceptions about the nature of science may force people to re-evaluate their rejection of climate change and ultimately help them change their minds (2019, p. 3).</w:t>
      </w:r>
    </w:p>
    <w:p w14:paraId="2FE3321E" w14:textId="77777777" w:rsidR="001A60BD" w:rsidRPr="00BE2836" w:rsidRDefault="001A60BD" w:rsidP="001A60BD">
      <w:pPr>
        <w:rPr>
          <w:sz w:val="20"/>
          <w:szCs w:val="20"/>
        </w:rPr>
      </w:pPr>
    </w:p>
    <w:p w14:paraId="3A0678EC" w14:textId="77777777" w:rsidR="001A60BD" w:rsidRPr="00BE2836" w:rsidRDefault="001A60BD" w:rsidP="001A60BD">
      <w:r w:rsidRPr="00BE2836">
        <w:t>Along these lines, Heather Douglas argues</w:t>
      </w:r>
    </w:p>
    <w:p w14:paraId="2559CF47" w14:textId="77777777" w:rsidR="001A60BD" w:rsidRDefault="001A60BD" w:rsidP="001A60BD">
      <w:pPr>
        <w:rPr>
          <w:sz w:val="20"/>
          <w:szCs w:val="20"/>
        </w:rPr>
      </w:pPr>
    </w:p>
    <w:p w14:paraId="01718C98" w14:textId="77777777" w:rsidR="001A60BD" w:rsidRPr="00BE2836" w:rsidRDefault="001A60BD" w:rsidP="001A60BD">
      <w:pPr>
        <w:rPr>
          <w:sz w:val="20"/>
          <w:szCs w:val="20"/>
        </w:rPr>
      </w:pPr>
      <w:r w:rsidRPr="00BE2836">
        <w:rPr>
          <w:sz w:val="20"/>
          <w:szCs w:val="20"/>
        </w:rPr>
        <w:t xml:space="preserve">…we need a public that has a better understanding not just of scientific facts but, more importantly, of the nature of science… understanding the nature of science is crucial for both being able to properly process science in the news, and more importantly, for engaging with scientific and technological controversies. (2015, p. 10). </w:t>
      </w:r>
    </w:p>
    <w:p w14:paraId="7C2B66BA" w14:textId="77777777" w:rsidR="001A60BD" w:rsidRPr="00BE2836" w:rsidRDefault="001A60BD" w:rsidP="001A60BD">
      <w:pPr>
        <w:rPr>
          <w:sz w:val="20"/>
          <w:szCs w:val="20"/>
        </w:rPr>
      </w:pPr>
    </w:p>
    <w:p w14:paraId="2810E0AA" w14:textId="77777777" w:rsidR="001A60BD" w:rsidRDefault="001A60BD" w:rsidP="001A60BD">
      <w:r w:rsidRPr="00BE2836">
        <w:t xml:space="preserve">Notice how Douglas argues for the importance of an accurate folk philosophy of science in public understanding. And in particular, both John and </w:t>
      </w:r>
      <w:proofErr w:type="spellStart"/>
      <w:r w:rsidRPr="00BE2836">
        <w:t>Kovaka</w:t>
      </w:r>
      <w:proofErr w:type="spellEnd"/>
      <w:r w:rsidRPr="00BE2836">
        <w:t xml:space="preserve"> claim that skepticism in climate science can be mitigated if the general public had a more accurate conception of scientific methodology. However, there are reasons to doubt that we can derive general conclusions about transparency’s effect on non-experts based on the Climategate example. In the next section, I will explore some reasons for why we may doubt the Climategate example can generalize in the way John claims it does. </w:t>
      </w:r>
    </w:p>
    <w:p w14:paraId="639054FF" w14:textId="34BB5BE2" w:rsidR="001A60BD" w:rsidRDefault="001A60BD"/>
    <w:p w14:paraId="073E2D01" w14:textId="6362BBA1" w:rsidR="001A60BD" w:rsidRPr="001A60BD" w:rsidRDefault="001A60BD" w:rsidP="001A60BD">
      <w:pPr>
        <w:pStyle w:val="ListParagraph"/>
        <w:numPr>
          <w:ilvl w:val="0"/>
          <w:numId w:val="1"/>
        </w:numPr>
        <w:rPr>
          <w:rFonts w:ascii="Times New Roman" w:hAnsi="Times New Roman" w:cs="Times New Roman"/>
          <w:b/>
          <w:bCs/>
        </w:rPr>
      </w:pPr>
      <w:r w:rsidRPr="001A60BD">
        <w:rPr>
          <w:rFonts w:ascii="Times New Roman" w:hAnsi="Times New Roman" w:cs="Times New Roman"/>
          <w:b/>
          <w:bCs/>
        </w:rPr>
        <w:t xml:space="preserve">Climategate: a peculiar case of transparency </w:t>
      </w:r>
    </w:p>
    <w:p w14:paraId="7751366F" w14:textId="77777777" w:rsidR="001A60BD" w:rsidRDefault="001A60BD" w:rsidP="001A60BD"/>
    <w:p w14:paraId="01A22D93" w14:textId="77777777" w:rsidR="001A60BD" w:rsidRPr="00BE2836" w:rsidRDefault="001A60BD" w:rsidP="001A60BD">
      <w:r w:rsidRPr="00BE2836">
        <w:t>To determine whether or not the Climategate example generalizes, we must ask ourselves whether non-</w:t>
      </w:r>
      <w:proofErr w:type="gramStart"/>
      <w:r w:rsidRPr="00BE2836">
        <w:t>experts’</w:t>
      </w:r>
      <w:proofErr w:type="gramEnd"/>
      <w:r w:rsidRPr="00BE2836">
        <w:t xml:space="preserve"> false folk philosophy of science sufficiently explains public mistrust in climate science after the leaked emails, or if there were other factors involved. If there were other factors that influenced the public’s mistrust of climate science, then the central issue may not be a matter of forced transparency on the part of climate scientists. </w:t>
      </w:r>
    </w:p>
    <w:p w14:paraId="45BB0D96" w14:textId="77777777" w:rsidR="001A60BD" w:rsidRPr="00BE2836" w:rsidRDefault="001A60BD" w:rsidP="001A60BD">
      <w:r w:rsidRPr="00BE2836">
        <w:tab/>
        <w:t xml:space="preserve">To answer this question, we must consider how public perception changed after Climategate and for what reasons. Climate change denialists first broke the story and argued that the emails showed global warming was a scientific conspiracy and that scientists manipulated climate data and suppressed critics. The mainstream media then picked up the story at the same time negotiations over climate change mitigation began in Copenhagen in December 2009. Due to the timing of the leak, scientists, policymakers, and public relations experts claim that the release of the emails was intended to undermine the aims and objectives of the climate conference. Although the American Association for the Advancement of Science (AAAS). The American Meteorological Society (AMS), and the Union of Concerned Scientists (UCS) released statements supporting the scientific consensus that the Earth’s mean surface temperature had been rising for decades in response to the controversy, in many ways the damage had already been done. </w:t>
      </w:r>
    </w:p>
    <w:p w14:paraId="3404FB47" w14:textId="77777777" w:rsidR="001A60BD" w:rsidRPr="00BE2836" w:rsidRDefault="001A60BD" w:rsidP="001A60BD">
      <w:r w:rsidRPr="00BE2836">
        <w:tab/>
        <w:t>It is important to note that the way the emails were discussed by conservative media outlets was not neutral. Instead, quotes from the emails were taken out of context and were made to appear more controversial than they really were. For example, the most quoted phrase took words from an email written by Phil Jones, which referred to a graph he was preparing for the World Meteorological Organization on the status of climate change in 1999. Jones wrote:</w:t>
      </w:r>
    </w:p>
    <w:p w14:paraId="3E28922F" w14:textId="77777777" w:rsidR="001A60BD" w:rsidRPr="00BE2836" w:rsidRDefault="001A60BD" w:rsidP="001A60BD">
      <w:pPr>
        <w:rPr>
          <w:sz w:val="20"/>
          <w:szCs w:val="20"/>
        </w:rPr>
      </w:pPr>
    </w:p>
    <w:p w14:paraId="357CE22D" w14:textId="77777777" w:rsidR="001A60BD" w:rsidRPr="00BE2836" w:rsidRDefault="001A60BD" w:rsidP="001A60BD">
      <w:pPr>
        <w:rPr>
          <w:sz w:val="20"/>
          <w:szCs w:val="20"/>
        </w:rPr>
      </w:pPr>
      <w:r w:rsidRPr="00BE2836">
        <w:rPr>
          <w:sz w:val="20"/>
          <w:szCs w:val="20"/>
        </w:rPr>
        <w:t xml:space="preserve">I’ve just completed Mike’s </w:t>
      </w:r>
      <w:r w:rsidRPr="00BE2836">
        <w:rPr>
          <w:i/>
          <w:sz w:val="20"/>
          <w:szCs w:val="20"/>
        </w:rPr>
        <w:t xml:space="preserve">Nature </w:t>
      </w:r>
      <w:r w:rsidRPr="00BE2836">
        <w:rPr>
          <w:sz w:val="20"/>
          <w:szCs w:val="20"/>
        </w:rPr>
        <w:t>trick of adding in the real temps to each series for the last 20 years (i.e., from 1981 onwards) and from 1961 for Keith’s to hide the decline. (Washington and Cook, 2011, p. 44)</w:t>
      </w:r>
    </w:p>
    <w:p w14:paraId="12FDAEAB" w14:textId="77777777" w:rsidR="001A60BD" w:rsidRPr="00BE2836" w:rsidRDefault="001A60BD" w:rsidP="001A60BD">
      <w:pPr>
        <w:rPr>
          <w:sz w:val="20"/>
          <w:szCs w:val="20"/>
        </w:rPr>
      </w:pPr>
    </w:p>
    <w:p w14:paraId="29229330" w14:textId="77777777" w:rsidR="001A60BD" w:rsidRPr="00BE2836" w:rsidRDefault="001A60BD" w:rsidP="001A60BD">
      <w:r w:rsidRPr="00BE2836">
        <w:t xml:space="preserve">The graph showed three series of paleoclimate reconstructions based on tree ring, coral, ice core, and lake sediment samples along with historical and instrumental records. The ‘trick’ refers to a technique for combining data series. Climatologist Michael E. Mann published a paper on temperature trends in </w:t>
      </w:r>
      <w:r w:rsidRPr="00BE2836">
        <w:rPr>
          <w:i/>
        </w:rPr>
        <w:t xml:space="preserve">Nature </w:t>
      </w:r>
      <w:r w:rsidRPr="00BE2836">
        <w:t xml:space="preserve">in 1998 which combined various proxy temperature records and related them to actual temperature records. It included a figure later notably called the ‘hockey stick’ graph which clearly distinguished between this proxy and instrumental data. According to Mann, the ‘trick’ is simply a concise way of showing these two kinds of data together, while still clearly labeling the two types of data. Thus, he claims that there is nothing hidden or inappropriate about this method and that this method of combining proxy and instrumental data had be corroborated by numerous statistical tests and matched thermometer readings taken over </w:t>
      </w:r>
      <w:r w:rsidRPr="00BE2836">
        <w:lastRenderedPageBreak/>
        <w:t>the past 150 years. The phrase ‘the decline’ referred to the divergence problem in dendroclimatology—a well-known issue that while thermometer records indicate a substantial warming trend up until the late 20</w:t>
      </w:r>
      <w:r w:rsidRPr="00BE2836">
        <w:rPr>
          <w:vertAlign w:val="superscript"/>
        </w:rPr>
        <w:t>th</w:t>
      </w:r>
      <w:r w:rsidRPr="00BE2836">
        <w:t xml:space="preserve"> century, many tree rings from these areas do not display a corresponding change in their maximum latewood density (Oreskes and Conway, 2010). </w:t>
      </w:r>
    </w:p>
    <w:p w14:paraId="2E7573B4" w14:textId="77777777" w:rsidR="001A60BD" w:rsidRDefault="001A60BD" w:rsidP="001A60BD">
      <w:pPr>
        <w:ind w:firstLine="720"/>
      </w:pPr>
      <w:r w:rsidRPr="00BE2836">
        <w:t xml:space="preserve">The phrases ‘trick’ and ‘the decline’ were misquoted to mean a “trick” to hide the decline in measured global temperatures. This was of course entirely false, since 1998 had been the warmest year on record. However, this did not stop conservative news outlets, like Fox News, and politicians to misrepresent what Jones meant. For instance, in 2009 US vice presidential candidate Sarah Palin said the phrase showed a “highly politicized scientific circle” that had “manipulated data to hide the decline in global temperatures” and Senator Jim Inhofe of </w:t>
      </w:r>
      <w:r w:rsidRPr="00432250">
        <w:t xml:space="preserve">Oklahoma said “of course he means hides the decline in temperatures” (Pearce, 2010). </w:t>
      </w:r>
    </w:p>
    <w:p w14:paraId="6AE47D01" w14:textId="77777777" w:rsidR="001A60BD" w:rsidRDefault="001A60BD" w:rsidP="001A60BD">
      <w:pPr>
        <w:ind w:firstLine="720"/>
      </w:pPr>
      <w:r w:rsidRPr="00432250">
        <w:t xml:space="preserve">In fact, climate change deniers have been conducting a smear campaign against climate scientists and their work since the 1960s. In their book </w:t>
      </w:r>
      <w:r w:rsidRPr="00432250">
        <w:rPr>
          <w:i/>
        </w:rPr>
        <w:t xml:space="preserve">Merchants of Doubt, </w:t>
      </w:r>
      <w:r w:rsidRPr="00432250">
        <w:t>Naomi Oreskes and Eric M. Conway identify the role of special interest groups in both the global warming and tobacco smoking controversies. The book draws a number of parallels between these two cases and focusses specifically</w:t>
      </w:r>
      <w:r w:rsidRPr="00BE2836">
        <w:t xml:space="preserve"> on how special interest groups and think tanks set up by the oil and tobacco industries actively created controversy on these issues. The general strategy of these special interest groups was to present legitimate scientific methodology as flawed. As Oreskes and Conway claim, the idea here is that “if they cannot contest the scientific facts, then the next best thing is to go after the scientific methodology of those claiming things they don’t like” and this is exactly what we see in the Climategate example, a full-blown attack against the efficacy of climate research (Oreskes and Conway, 143). It is no surprise that non-experts were skeptical of the research methods exposed in the Climategate case, after all, their methods had been under attack for a number of decades prior to the scandal. </w:t>
      </w:r>
    </w:p>
    <w:p w14:paraId="04EEA073" w14:textId="77777777" w:rsidR="0081548C" w:rsidRPr="00C34EC6" w:rsidRDefault="0081548C" w:rsidP="0081548C">
      <w:pPr>
        <w:ind w:firstLine="720"/>
      </w:pPr>
      <w:r>
        <w:t xml:space="preserve">Thus, transparency did play a role in inducing skepticism, as it allowed skeptics to make effective, if spurious, arguments to the public about the illegitimacy of climate science. However, the large role special interest groups played in mischaracterizing emails and portraying climate science as illegitimate indicates that transparency alone did not cause climate skepticism, like John claims. Instead, the important factor here is the industrial actors and how these actors utilized transparency as fodder for </w:t>
      </w:r>
      <w:r w:rsidRPr="00C34EC6">
        <w:t>their anti-climate science agenda</w:t>
      </w:r>
      <w:r>
        <w:t xml:space="preserve">. For this reason, it is unclear whether John’s example of Climategate generalizes as he claims it does. At the very least, the Climategate example doesn’t show why transparency is harmful or dangerous in the absence of nefarious industrial actors. </w:t>
      </w:r>
      <w:r w:rsidRPr="00C34EC6">
        <w:t xml:space="preserve">Most scientific debates don’t include special interest groups that spread misinformation like in the case of climate change, or at least not to the same degree. More importantly, when we think of transparency, we think of an </w:t>
      </w:r>
      <w:r w:rsidRPr="00C34EC6">
        <w:rPr>
          <w:i/>
          <w:iCs/>
        </w:rPr>
        <w:t xml:space="preserve">unbiased </w:t>
      </w:r>
      <w:r w:rsidRPr="00C34EC6">
        <w:t xml:space="preserve">presentation of the scientific facts and as discussed this isn’t what we find in the Climategate example. </w:t>
      </w:r>
    </w:p>
    <w:p w14:paraId="518E20EF" w14:textId="12CB3FBA" w:rsidR="0081548C" w:rsidRPr="00432250" w:rsidRDefault="0081548C" w:rsidP="0081548C">
      <w:r>
        <w:tab/>
        <w:t xml:space="preserve">Furthermore, evidence indicates that knowledge of scientific facts and methodology isn’t necessarily the most salient driving factor when it comes to trust in climate science. For instance, a </w:t>
      </w:r>
      <w:r w:rsidRPr="00432250">
        <w:t xml:space="preserve">PEW study (Funk et al., 2019) found that among those with a ‘high’ degree of environmental science knowledge, 44% said environmental scientists provide fair and accurate information about their research, whereas, among those that have a ‘low’ degree of environmental science knowledge, 25% said environmental scientists provide fair and accurate information about their research. Presumably, those with knowledge about environmental science would likewise know that the methodology often deviates from folk philosophy of science norms. However, we see that the percentage of trust in environmental science between these two groups isn’t as different as we might expect. </w:t>
      </w:r>
    </w:p>
    <w:p w14:paraId="549263C3" w14:textId="656B3FA3" w:rsidR="0081548C" w:rsidRDefault="0081548C" w:rsidP="0081548C">
      <w:pPr>
        <w:ind w:firstLine="720"/>
      </w:pPr>
      <w:r w:rsidRPr="00432250">
        <w:lastRenderedPageBreak/>
        <w:t xml:space="preserve">Compare this statistic with how trust in environmental science deviates along political lines. In the same PEW research study (Funk et al., 2019), 70% of democrats said they have a mostly positive view of environmental scientists, </w:t>
      </w:r>
      <w:proofErr w:type="gramStart"/>
      <w:r w:rsidRPr="00432250">
        <w:t>whereas,</w:t>
      </w:r>
      <w:proofErr w:type="gramEnd"/>
      <w:r w:rsidRPr="00432250">
        <w:t xml:space="preserve"> only 40% of republicans said the same. Moreover, 47% of democrats agreed with the claim that environmental scientists provide fair and accurate information whereas only 19% of republicans agreed. </w:t>
      </w:r>
    </w:p>
    <w:p w14:paraId="5E75349E" w14:textId="1D6B68CF" w:rsidR="0081548C" w:rsidRDefault="0081548C" w:rsidP="0081548C">
      <w:r>
        <w:tab/>
        <w:t xml:space="preserve">It is important to note that when controlling for each of these variables, political affiliation seems to be a better predictor of trust in environmental science than scientific literacy. </w:t>
      </w:r>
      <w:r>
        <w:t>For example, when controlling for education level, democrats on average trust the results of climate scientists more than their conservative counterparts (</w:t>
      </w:r>
      <w:proofErr w:type="spellStart"/>
      <w:r>
        <w:t>Gauchat</w:t>
      </w:r>
      <w:proofErr w:type="spellEnd"/>
      <w:r>
        <w:t xml:space="preserve">, 2010; </w:t>
      </w:r>
      <w:proofErr w:type="spellStart"/>
      <w:r>
        <w:t>Hornsey</w:t>
      </w:r>
      <w:proofErr w:type="spellEnd"/>
      <w:r>
        <w:t xml:space="preserve"> et al., 2016).</w:t>
      </w:r>
      <w:r>
        <w:t xml:space="preserve"> Moreover, although increased education level, in general, positively correlates with more trust in climate science, it should be noted that this main trend must be qualified by a moderate effect: research in the U.S. using representative samples suggest that the link between scientific knowledge and trust in climate science is more positive among Democrats than Republicans (</w:t>
      </w:r>
      <w:proofErr w:type="spellStart"/>
      <w:r>
        <w:t>Hornsey</w:t>
      </w:r>
      <w:proofErr w:type="spellEnd"/>
      <w:r>
        <w:t xml:space="preserve"> et al., 2016). This seems to indicate that when controlling for education, politics still plays a significant role. </w:t>
      </w:r>
    </w:p>
    <w:p w14:paraId="27A28EE4" w14:textId="77777777" w:rsidR="0081548C" w:rsidRPr="00C34EC6" w:rsidRDefault="0081548C" w:rsidP="0081548C">
      <w:pPr>
        <w:ind w:firstLine="720"/>
      </w:pPr>
      <w:r>
        <w:tab/>
        <w:t xml:space="preserve">In this section, I discussed how climate change skeptics spread misinformation in order to fracture public trust in science. Due to this misinformation campaign, it is unclear that transparency was the main driver of public skepticism in climate science. I then argued that even if transparency played a significant role in public mistrust in climate science, given the unique role special interest groups played in climate change denial, the pernicious effect transparency possibly had in this case can’t generalize to other scientific debates. </w:t>
      </w:r>
      <w:r w:rsidRPr="00C34EC6">
        <w:t xml:space="preserve">John’s argument against transparency relies on the fact that there is a discrepancy between non-experts’ idealized views and actual scientific methodology, such that, mistrust in science is generated when research methods that don’t correspond to a folk philosophy of science are made transparent. </w:t>
      </w:r>
      <w:r>
        <w:t xml:space="preserve">Finally, I argued that political leaning is more strongly correlated with trust in environmental science than scientific education. </w:t>
      </w:r>
    </w:p>
    <w:p w14:paraId="041099FF" w14:textId="56078B39" w:rsidR="0081548C" w:rsidRDefault="0081548C" w:rsidP="00C43021">
      <w:pPr>
        <w:ind w:firstLine="720"/>
      </w:pPr>
      <w:r w:rsidRPr="008C4704">
        <w:t xml:space="preserve">In </w:t>
      </w:r>
      <w:r>
        <w:t>the next section</w:t>
      </w:r>
      <w:r w:rsidRPr="008C4704">
        <w:t>, I will further question John’s account by looking at the example of vaccines, where research methods corresponded to the public’s folk philosophy of science and yet, nevertheless, we see public mistrust in science. Through a careful examination of this example</w:t>
      </w:r>
      <w:r w:rsidR="00C43021">
        <w:t>,</w:t>
      </w:r>
      <w:r w:rsidRPr="008C4704">
        <w:t xml:space="preserve"> I hope to show that public mistrust in science is a complex issue caused by a set of factors and thus, John’s account of mistrust in science oversimplifies the issue.</w:t>
      </w:r>
    </w:p>
    <w:p w14:paraId="7A74F36D" w14:textId="73ABA81C" w:rsidR="00C43021" w:rsidRDefault="00C43021" w:rsidP="00C43021">
      <w:pPr>
        <w:ind w:firstLine="720"/>
      </w:pPr>
    </w:p>
    <w:p w14:paraId="5055C670" w14:textId="77777777" w:rsidR="00C43021" w:rsidRDefault="00C43021" w:rsidP="00C43021">
      <w:pPr>
        <w:pStyle w:val="ListParagraph"/>
        <w:numPr>
          <w:ilvl w:val="0"/>
          <w:numId w:val="1"/>
        </w:numPr>
        <w:rPr>
          <w:rFonts w:ascii="Times New Roman" w:hAnsi="Times New Roman" w:cs="Times New Roman"/>
          <w:b/>
          <w:bCs/>
        </w:rPr>
      </w:pPr>
      <w:r w:rsidRPr="003C7BBB">
        <w:rPr>
          <w:rFonts w:ascii="Times New Roman" w:hAnsi="Times New Roman" w:cs="Times New Roman"/>
          <w:b/>
          <w:bCs/>
        </w:rPr>
        <w:t xml:space="preserve">Is </w:t>
      </w:r>
      <w:r>
        <w:rPr>
          <w:rFonts w:ascii="Times New Roman" w:hAnsi="Times New Roman" w:cs="Times New Roman"/>
          <w:b/>
          <w:bCs/>
        </w:rPr>
        <w:t>science skepticism usually rooted in a methodological disagreement between experts and non-experts?</w:t>
      </w:r>
      <w:r w:rsidRPr="003C7BBB">
        <w:rPr>
          <w:rFonts w:ascii="Times New Roman" w:hAnsi="Times New Roman" w:cs="Times New Roman"/>
          <w:b/>
          <w:bCs/>
        </w:rPr>
        <w:t xml:space="preserve">  </w:t>
      </w:r>
    </w:p>
    <w:p w14:paraId="05AA98EC" w14:textId="77777777" w:rsidR="00C43021" w:rsidRDefault="00C43021" w:rsidP="00C43021">
      <w:pPr>
        <w:rPr>
          <w:b/>
          <w:bCs/>
        </w:rPr>
      </w:pPr>
    </w:p>
    <w:p w14:paraId="7CB94E3A" w14:textId="77777777" w:rsidR="00C43021" w:rsidRDefault="00C43021" w:rsidP="00C43021">
      <w:r>
        <w:t>According to John, the communicative obligations scientists have towards non-experts should be grounded in claims about what will further non-</w:t>
      </w:r>
      <w:proofErr w:type="gramStart"/>
      <w:r>
        <w:t>experts’</w:t>
      </w:r>
      <w:proofErr w:type="gramEnd"/>
      <w:r>
        <w:t xml:space="preserve"> epistemic interests (p. 82). More specifically, we saw him argue that when the scientific community and the general public’s standards for acceptance diverge, scientists shouldn’t be transparent about their methods. </w:t>
      </w:r>
    </w:p>
    <w:p w14:paraId="6BFB059F" w14:textId="77777777" w:rsidR="00C43021" w:rsidRPr="002D28CB" w:rsidRDefault="00C43021" w:rsidP="00C43021">
      <w:r w:rsidRPr="002D28CB">
        <w:t>In this section, I will argue that when we seek to bring about conditions necessary for warranted trust, we shouldn’t myopically focus on the general publics’ views about scientific methodology. Scientific skepticism stems from many factors and focusing on non-</w:t>
      </w:r>
      <w:proofErr w:type="gramStart"/>
      <w:r w:rsidRPr="002D28CB">
        <w:t>experts’</w:t>
      </w:r>
      <w:proofErr w:type="gramEnd"/>
      <w:r w:rsidRPr="002D28CB">
        <w:t xml:space="preserve"> methodological misconceptions oversimplifies the issue. In supporting this argument, I will look at the case of vaccine safety, where scientists did everything right vis a vis the folk philosophy of science, but we still see skepticism in part because of influencers and propogandists. </w:t>
      </w:r>
    </w:p>
    <w:p w14:paraId="18139D06" w14:textId="77777777" w:rsidR="00C43021" w:rsidRDefault="00C43021" w:rsidP="00C43021">
      <w:pPr>
        <w:ind w:firstLine="720"/>
      </w:pPr>
      <w:r w:rsidRPr="002D5159">
        <w:lastRenderedPageBreak/>
        <w:t xml:space="preserve">On John’s account, in cases where scientific methodology corresponds to common folk philosophy of science assumptions </w:t>
      </w:r>
      <w:r>
        <w:t xml:space="preserve">(e.g., </w:t>
      </w:r>
      <w:r w:rsidRPr="002D5159">
        <w:t>debate and discussion should always be encouraged, refusal to publish and engage with certain research projects is impermissible, large sample sizes indicate validity, etc.</w:t>
      </w:r>
      <w:r>
        <w:t>)</w:t>
      </w:r>
      <w:r w:rsidRPr="002D5159">
        <w:t xml:space="preserve"> we </w:t>
      </w:r>
      <w:r>
        <w:t>should expect transparency to at least minimally curb scientific skepticism</w:t>
      </w:r>
      <w:r w:rsidRPr="002D5159">
        <w:t xml:space="preserve">. </w:t>
      </w:r>
      <w:r>
        <w:t xml:space="preserve">If we do find cases where scientists are operating within the “extremely idealized… normative models of scientific inquiry” that non-experts are “routinely exposed to” and nevertheless see mistrust in the science, then this seems to imply that other factors besides a folk philosophy of science helped to generate this mistrust (John, 81). </w:t>
      </w:r>
    </w:p>
    <w:p w14:paraId="437BB730" w14:textId="77777777" w:rsidR="00C43021" w:rsidRPr="002D28CB" w:rsidRDefault="00C43021" w:rsidP="00C43021">
      <w:pPr>
        <w:ind w:firstLine="720"/>
      </w:pPr>
      <w:r w:rsidRPr="002D28CB">
        <w:t>There is reason to believe that the measles, mumps, and rubella (MMR) vaccine safety research is an example where scientific methodology corresponds to a folk philosophy of science. For example, earlier studies determining the efficacy of these vaccines reported that:</w:t>
      </w:r>
    </w:p>
    <w:p w14:paraId="7C2F7544" w14:textId="77777777" w:rsidR="00C43021" w:rsidRPr="002D28CB" w:rsidRDefault="00C43021" w:rsidP="00C43021">
      <w:pPr>
        <w:rPr>
          <w:sz w:val="20"/>
          <w:szCs w:val="20"/>
        </w:rPr>
      </w:pPr>
    </w:p>
    <w:p w14:paraId="43B2A0D2" w14:textId="77777777" w:rsidR="00C43021" w:rsidRPr="002D28CB" w:rsidRDefault="00C43021" w:rsidP="00C43021">
      <w:pPr>
        <w:rPr>
          <w:sz w:val="20"/>
          <w:szCs w:val="20"/>
        </w:rPr>
      </w:pPr>
      <w:r w:rsidRPr="002D28CB">
        <w:rPr>
          <w:sz w:val="20"/>
          <w:szCs w:val="20"/>
        </w:rPr>
        <w:t>clinical studies of 284 triple seronegative children, 11 months to 7 years of age, demonstrated that M-M-R II is highly immunogenic and generally well tolerated. In these studies, a single injection of the vaccine induced measles hemagglutination-inhibition (HI) antibodies in 95%, mumps neutralizing antibodies in 96%, and rubella HI antibodies in 99% of susceptible persons (CDC report, 2020).</w:t>
      </w:r>
    </w:p>
    <w:p w14:paraId="36D08084" w14:textId="77777777" w:rsidR="00C43021" w:rsidRPr="002D28CB" w:rsidRDefault="00C43021" w:rsidP="00C43021"/>
    <w:p w14:paraId="77DF14D4" w14:textId="77777777" w:rsidR="00C43021" w:rsidRPr="002D28CB" w:rsidRDefault="00C43021" w:rsidP="00C43021">
      <w:r w:rsidRPr="002D28CB">
        <w:t>Furthermore, it has been reported that the efficacy of measles, mumps, and rubella vaccines was established in a series of double-blind controlled field trials which demonstrated a high degree of protective efficacy by the individual vaccine components (</w:t>
      </w:r>
      <w:proofErr w:type="spellStart"/>
      <w:r w:rsidRPr="002D28CB">
        <w:t>Cutts</w:t>
      </w:r>
      <w:proofErr w:type="spellEnd"/>
      <w:r w:rsidRPr="002D28CB">
        <w:t xml:space="preserve"> 1991, Hilleman 1967, 1968; Weibel 1967). </w:t>
      </w:r>
    </w:p>
    <w:p w14:paraId="442EF0CB" w14:textId="77777777" w:rsidR="00C43021" w:rsidRPr="002D28CB" w:rsidRDefault="00C43021" w:rsidP="00C43021">
      <w:pPr>
        <w:ind w:firstLine="720"/>
      </w:pPr>
      <w:r w:rsidRPr="002D28CB">
        <w:t>Compare the clinical studies conducted to establish the efficacy of the MMR vaccine, which included a large sample size and double-blind controlled field trials, to the studies published by vaccine skeptics. For example, in 1998, Andrew Wakefield and 12 of his colleagues</w:t>
      </w:r>
      <w:r w:rsidRPr="002D28CB">
        <w:rPr>
          <w:rStyle w:val="FootnoteReference"/>
        </w:rPr>
        <w:footnoteReference w:id="1"/>
      </w:r>
      <w:r w:rsidRPr="002D28CB">
        <w:t xml:space="preserve"> published a case series in </w:t>
      </w:r>
      <w:r w:rsidRPr="002D28CB">
        <w:rPr>
          <w:i/>
        </w:rPr>
        <w:t xml:space="preserve">Lancet </w:t>
      </w:r>
      <w:r w:rsidRPr="002D28CB">
        <w:t xml:space="preserve">which suggested that measles, mumps, and rubella (MMR) vaccine may predispose children to behavioral regression and pervasive developmental disorder. Despite the small sample size (n=12), the uncontrolled design, and the speculative conclusions, the paper was very influential. </w:t>
      </w:r>
    </w:p>
    <w:p w14:paraId="57D86540" w14:textId="77777777" w:rsidR="00C43021" w:rsidRPr="002D28CB" w:rsidRDefault="00C43021" w:rsidP="00C43021">
      <w:pPr>
        <w:ind w:firstLine="720"/>
      </w:pPr>
      <w:r w:rsidRPr="002D28CB">
        <w:t xml:space="preserve">Instead of dismissing these methodologically flawed studies conducted by vaccine skeptics, the scientific community responded in a way that corresponds to a folk philosophy of science—they engaged in debate and discussion with anti-vaxxers. In fact, the scientific community took the anti-vaccination movement surprisingly seriously and conducted many carefully performed scientific studies to determine whether there is a link between vaccines and autism. One of these studies was supervised by the CDC and the Danish Medical Research Council in November 2002. The study followed more than 500,000 children over 7 years and found no link between MMR vaccination and autism (Center for Disease Control and Prevention, 2020). Also included is an April 2006 study conducted by the National Institution of Child Health and Human Development of NIH and the CDC that assessed data from 351 children with autism spectrum disorders and 31 typically developing children. This study similarly found no link between MMR vaccination and autism (ibid.). More recently, a study from September 2008 published in Public Library of Science was conducted to determine whether the results from an earlier study that claimed to find measles virus RNA in the intestinal tissue of a specific group of </w:t>
      </w:r>
      <w:r w:rsidRPr="002D28CB">
        <w:lastRenderedPageBreak/>
        <w:t xml:space="preserve">autistic children could be confirmed. The results of this earlier study could not be confirmed, once again corroborating the fact that there is no link between MMR and autism (ibid.). </w:t>
      </w:r>
    </w:p>
    <w:p w14:paraId="23B1295C" w14:textId="77777777" w:rsidR="00C43021" w:rsidRPr="002D28CB" w:rsidRDefault="00C43021" w:rsidP="00C43021">
      <w:pPr>
        <w:ind w:firstLine="720"/>
      </w:pPr>
      <w:r w:rsidRPr="002D28CB">
        <w:t xml:space="preserve">Unfortunately, we still see widespread skepticism concerning the safety of vaccines. A recent survey from the Pew Research Center show that 9 percent of Americans think the MMR vaccine is not safe and another 7 percent is unsure (Pew Research Center, 2015). Moreover, among the people who are actually parents of minors, the number of vaccine skeptics is at 13 percent. In fact, only 80 percent such parents agreed that the MMR vaccine is safe (ibid.). </w:t>
      </w:r>
    </w:p>
    <w:p w14:paraId="5E8C717B" w14:textId="77777777" w:rsidR="00C43021" w:rsidRDefault="00C43021" w:rsidP="00C43021">
      <w:pPr>
        <w:ind w:firstLine="720"/>
      </w:pPr>
      <w:r w:rsidRPr="002D28CB">
        <w:t>Here we see a case where the scientific experts’ studies and discourse resemble non-</w:t>
      </w:r>
      <w:proofErr w:type="gramStart"/>
      <w:r w:rsidRPr="002D28CB">
        <w:t>experts’</w:t>
      </w:r>
      <w:proofErr w:type="gramEnd"/>
      <w:r w:rsidRPr="002D28CB">
        <w:t xml:space="preserve"> folk ideals of good scientific methodology—large sample sizes, peer reviewed studies, engaging in with vaccine skeptics, etc. Compare this to how small the sample size is for Wakefield’s original study, how it wasn’t peer reviewed and how anti-vaccine ‘scientists’ never formally engage</w:t>
      </w:r>
      <w:r>
        <w:t>d</w:t>
      </w:r>
      <w:r w:rsidRPr="002D28CB">
        <w:t xml:space="preserve"> with articles that demonstrate the safety of vaccines.</w:t>
      </w:r>
      <w:r>
        <w:t xml:space="preserve"> If non-</w:t>
      </w:r>
      <w:proofErr w:type="gramStart"/>
      <w:r>
        <w:t>experts’</w:t>
      </w:r>
      <w:proofErr w:type="gramEnd"/>
      <w:r>
        <w:t xml:space="preserve"> methodological ideals strongly influence trust in science, then we might expect non-experts to trust scientific studies that fit these methodological ideals. However, evidence indicates quite the contrary: a recent report evaluated the effectiveness of messages designed to reduce parental misperceptions and increase vaccination rates, including messages about peer review studies with large sample sizes establishing vaccine safety, demonstrated that these messages were not only ineffective, </w:t>
      </w:r>
      <w:proofErr w:type="gramStart"/>
      <w:r>
        <w:t>they even</w:t>
      </w:r>
      <w:proofErr w:type="gramEnd"/>
      <w:r>
        <w:t xml:space="preserve"> reduced the intention to vaccinate in some groups of parents (</w:t>
      </w:r>
      <w:proofErr w:type="spellStart"/>
      <w:r>
        <w:t>Nyhan</w:t>
      </w:r>
      <w:proofErr w:type="spellEnd"/>
      <w:r>
        <w:t xml:space="preserve"> et al., 2014). </w:t>
      </w:r>
    </w:p>
    <w:p w14:paraId="4CEA6B54" w14:textId="77777777" w:rsidR="00C43021" w:rsidRPr="002D28CB" w:rsidRDefault="00C43021" w:rsidP="00C43021">
      <w:pPr>
        <w:ind w:firstLine="720"/>
      </w:pPr>
      <w:r w:rsidRPr="002D28CB">
        <w:t xml:space="preserve">The discussion thus far implies that a folk philosophy of science was not the primary cause of vaccine safety skepticism. Epidemiologists were conducting their research according to a folk philosophy of science and nevertheless, we still see public mistrust in vaccine safety.  </w:t>
      </w:r>
    </w:p>
    <w:p w14:paraId="66EF09BE" w14:textId="77777777" w:rsidR="00C43021" w:rsidRPr="002D28CB" w:rsidRDefault="00C43021" w:rsidP="00C43021">
      <w:pPr>
        <w:ind w:firstLine="720"/>
      </w:pPr>
      <w:r w:rsidRPr="002D28CB">
        <w:t>What then is causing non-expert’s mistrust if it is not their folk philosophy of science? This is a difficult question without a single straightforward answer.</w:t>
      </w:r>
      <w:r>
        <w:t xml:space="preserve"> One plausible answer is that mistrust in vaccines stem from a discrepancy between epidemiologists’ and the general public’s assessment of risk (Hicks, 2017). </w:t>
      </w:r>
      <w:r w:rsidRPr="002D28CB">
        <w:t>An epidemiologists’ assessment of risk is determined by the frequency of a hazard across an entire population given the implementation of the vaccine. This risk is then compared to the overall public health benefits in order to determine whether the risk is worth taking. For example, a mandatory vaccination policy that promised to prevent 5,000 mumps cases, even while leading to 50 cases of serious side</w:t>
      </w:r>
      <w:r>
        <w:t xml:space="preserve"> effects, might still be considered worthwhile (Hicks, 2017). </w:t>
      </w:r>
      <w:r w:rsidRPr="002D28CB">
        <w:t xml:space="preserve">Compare this assessment with the way a worried parent may assess the risk of a vaccine. When assessing risk, parents tend to focus on their child instead of an overall social balance of costs and benefits. More specifically, in determining whether to vaccinate their children, parents may narrowly focus on the increased risk of exposing their child to harsh side effects and ignore the public safety risks of not vaccinating their child (Hicks, 2017). </w:t>
      </w:r>
    </w:p>
    <w:p w14:paraId="7B559FF4" w14:textId="77777777" w:rsidR="00C43021" w:rsidRPr="002D28CB" w:rsidRDefault="00C43021" w:rsidP="00C43021">
      <w:pPr>
        <w:ind w:firstLine="720"/>
      </w:pPr>
      <w:r w:rsidRPr="002D28CB">
        <w:t xml:space="preserve">Another answer to this question has to do with the way anti-vaxxers exploited the way people share information and learn from one another (O’Connor and Weatherall, 2019). For instance, after learning that autism rates were particularly high in a Somali community in Minneapolis, anti-vaccine supporters distributed fliers that reported a link between vaccinations and autism (ibid). In fact, Andrew Wakefield visited Minneapolis many times between 2010 and 2011 to speak with Somali parents of autistic children. Following these visits was a drop in vaccination rates in the Somali community from 92 percent in 2004 and 42 percent in 2014 (O’Connor and Weatherall, 2019). As O’Connor and Weatherall claim, anti-vaxxers were taking advantage of conformity effects by pushing their views on a close-knit group that is already susceptible to their message (ibid). </w:t>
      </w:r>
    </w:p>
    <w:p w14:paraId="55D62F2E" w14:textId="77777777" w:rsidR="00C43021" w:rsidRDefault="00C43021" w:rsidP="00C43021">
      <w:pPr>
        <w:ind w:firstLine="720"/>
      </w:pPr>
      <w:r w:rsidRPr="002D28CB">
        <w:lastRenderedPageBreak/>
        <w:t>Notice how public skepticism in science is a complicated issue often generated by more than one factor. For the MMR vaccine, we saw that both the discrepancy in risk assessment between parents and epidemiologists</w:t>
      </w:r>
      <w:r>
        <w:t xml:space="preserve"> as well as the way anti-vaxxers exerted influence by targeting close-knit communities contributed to vaccine mistrust. </w:t>
      </w:r>
      <w:r w:rsidRPr="002D28CB">
        <w:t>While it is plausible that a folk philosophy of science plays a role in vaccine skepticism, the discussion suggests that it isn’t the most important factor.</w:t>
      </w:r>
      <w:r>
        <w:t xml:space="preserve"> </w:t>
      </w:r>
    </w:p>
    <w:p w14:paraId="14DCEDBA" w14:textId="77777777" w:rsidR="00C43021" w:rsidRDefault="00C43021" w:rsidP="00C43021">
      <w:pPr>
        <w:ind w:firstLine="720"/>
      </w:pPr>
      <w:r>
        <w:t xml:space="preserve">In what follows, </w:t>
      </w:r>
      <w:r w:rsidRPr="002D28CB">
        <w:t>I will push back on the claim that mitigating methodological disputes between scientists and laypeople requires scientists to be less transparent. Medical research for an AIDS cure during the 1980s involved a direct clash between experts and non-</w:t>
      </w:r>
      <w:proofErr w:type="gramStart"/>
      <w:r w:rsidRPr="002D28CB">
        <w:t>experts’</w:t>
      </w:r>
      <w:proofErr w:type="gramEnd"/>
      <w:r w:rsidRPr="002D28CB">
        <w:t xml:space="preserve"> methodological assumptions. As will be discussed, receptivity to the methodological critiques and further transparency from the scientific community is eventually what quelled non-</w:t>
      </w:r>
      <w:proofErr w:type="gramStart"/>
      <w:r w:rsidRPr="002D28CB">
        <w:t>experts’</w:t>
      </w:r>
      <w:proofErr w:type="gramEnd"/>
      <w:r w:rsidRPr="002D28CB">
        <w:t xml:space="preserve"> skepticism.</w:t>
      </w:r>
      <w:r>
        <w:t xml:space="preserve"> </w:t>
      </w:r>
      <w:r w:rsidRPr="002D28CB">
        <w:t xml:space="preserve">  </w:t>
      </w:r>
    </w:p>
    <w:p w14:paraId="103AF622" w14:textId="21F15346" w:rsidR="00C43021" w:rsidRDefault="00C43021" w:rsidP="00C43021"/>
    <w:p w14:paraId="220FCA5C" w14:textId="77777777" w:rsidR="00C43021" w:rsidRDefault="00C43021" w:rsidP="00C43021">
      <w:pPr>
        <w:pStyle w:val="ListParagraph"/>
        <w:numPr>
          <w:ilvl w:val="0"/>
          <w:numId w:val="1"/>
        </w:numPr>
        <w:rPr>
          <w:rFonts w:ascii="Times New Roman" w:hAnsi="Times New Roman" w:cs="Times New Roman"/>
          <w:b/>
          <w:bCs/>
        </w:rPr>
      </w:pPr>
      <w:r w:rsidRPr="005E5051">
        <w:rPr>
          <w:rFonts w:ascii="Times New Roman" w:hAnsi="Times New Roman" w:cs="Times New Roman"/>
          <w:b/>
          <w:bCs/>
        </w:rPr>
        <w:t xml:space="preserve">An example of transparency </w:t>
      </w:r>
      <w:r>
        <w:rPr>
          <w:rFonts w:ascii="Times New Roman" w:hAnsi="Times New Roman" w:cs="Times New Roman"/>
          <w:b/>
          <w:bCs/>
        </w:rPr>
        <w:t>f</w:t>
      </w:r>
      <w:r w:rsidRPr="005E5051">
        <w:rPr>
          <w:rFonts w:ascii="Times New Roman" w:hAnsi="Times New Roman" w:cs="Times New Roman"/>
          <w:b/>
          <w:bCs/>
        </w:rPr>
        <w:t xml:space="preserve">ostering </w:t>
      </w:r>
      <w:r>
        <w:rPr>
          <w:rFonts w:ascii="Times New Roman" w:hAnsi="Times New Roman" w:cs="Times New Roman"/>
          <w:b/>
          <w:bCs/>
        </w:rPr>
        <w:t>p</w:t>
      </w:r>
      <w:r w:rsidRPr="005E5051">
        <w:rPr>
          <w:rFonts w:ascii="Times New Roman" w:hAnsi="Times New Roman" w:cs="Times New Roman"/>
          <w:b/>
          <w:bCs/>
        </w:rPr>
        <w:t xml:space="preserve">ublic </w:t>
      </w:r>
      <w:r>
        <w:rPr>
          <w:rFonts w:ascii="Times New Roman" w:hAnsi="Times New Roman" w:cs="Times New Roman"/>
          <w:b/>
          <w:bCs/>
        </w:rPr>
        <w:t>t</w:t>
      </w:r>
      <w:r w:rsidRPr="005E5051">
        <w:rPr>
          <w:rFonts w:ascii="Times New Roman" w:hAnsi="Times New Roman" w:cs="Times New Roman"/>
          <w:b/>
          <w:bCs/>
        </w:rPr>
        <w:t xml:space="preserve">rust in </w:t>
      </w:r>
      <w:r>
        <w:rPr>
          <w:rFonts w:ascii="Times New Roman" w:hAnsi="Times New Roman" w:cs="Times New Roman"/>
          <w:b/>
          <w:bCs/>
        </w:rPr>
        <w:t>s</w:t>
      </w:r>
      <w:r w:rsidRPr="005E5051">
        <w:rPr>
          <w:rFonts w:ascii="Times New Roman" w:hAnsi="Times New Roman" w:cs="Times New Roman"/>
          <w:b/>
          <w:bCs/>
        </w:rPr>
        <w:t>cience</w:t>
      </w:r>
    </w:p>
    <w:p w14:paraId="52D2F274" w14:textId="77777777" w:rsidR="00C43021" w:rsidRDefault="00C43021" w:rsidP="00C43021">
      <w:pPr>
        <w:rPr>
          <w:b/>
          <w:bCs/>
        </w:rPr>
      </w:pPr>
    </w:p>
    <w:p w14:paraId="01AC2D7A" w14:textId="77777777" w:rsidR="00C43021" w:rsidRDefault="00C43021" w:rsidP="00C43021">
      <w:r>
        <w:t>Let us now turn to the example of AIDS research in the United States during the height of the epidemic. Philosophers studying methodological disputes between experts and non-experts tend to focus on the deleterious role non-</w:t>
      </w:r>
      <w:proofErr w:type="gramStart"/>
      <w:r>
        <w:t>experts’</w:t>
      </w:r>
      <w:proofErr w:type="gramEnd"/>
      <w:r>
        <w:t xml:space="preserve"> methodological assumptions play in knowledge production. However, the example of AIDS research shows that non-experts can in certain circumstances become genuine participants in the construction of scientific knowledge in virtue of their methodological disagreements with experts. This is meant to illustrate that divergences between expert and non-expert methodological assumptions alone </w:t>
      </w:r>
      <w:proofErr w:type="gramStart"/>
      <w:r>
        <w:t>isn’t</w:t>
      </w:r>
      <w:proofErr w:type="gramEnd"/>
      <w:r>
        <w:t xml:space="preserve"> enough to produce scientific skepticism.</w:t>
      </w:r>
    </w:p>
    <w:p w14:paraId="455952EC" w14:textId="77777777" w:rsidR="00C43021" w:rsidRDefault="00C43021" w:rsidP="00C43021">
      <w:pPr>
        <w:ind w:firstLine="720"/>
      </w:pPr>
      <w:r>
        <w:t xml:space="preserve">Non-experts in the form of gay rights activists disagreed with the methodological approach of AIDS research. More specifically, they challenged the use of randomized clinical trials and questioned the exclusion of subjects and requirements that subjects avoid participating in multiple trials. This was a direct challenge to orthodox scientific methodology when it comes to drug trials. In challenging assumptions about the randomized clinical trial standard, activists forced the scientific research establishment to design clinical trials that could serve AIDS patients, most of whom suffered from multiple health problems that needed simultaneous </w:t>
      </w:r>
      <w:proofErr w:type="gramStart"/>
      <w:r>
        <w:t>treatments, and</w:t>
      </w:r>
      <w:proofErr w:type="gramEnd"/>
      <w:r>
        <w:t xml:space="preserve"> gained the inclusion of a more diverse subject population in antiretroviral trials (Epstein, 1996). </w:t>
      </w:r>
    </w:p>
    <w:p w14:paraId="0ECF0B05" w14:textId="77777777" w:rsidR="00C43021" w:rsidRDefault="00C43021" w:rsidP="00C43021">
      <w:pPr>
        <w:ind w:firstLine="720"/>
      </w:pPr>
      <w:r>
        <w:t xml:space="preserve"> From the activists’ perspective, experts’ emphasis on methodological purity reflected a dangerous abstractedness from pressing social realities (ibid). In the medical literature, the dispute concerning drug trials between experts and activists has often been characterized as a clash in values. For instance, Feinstein (1983) distinguishes between the two conceptions of such trials as the “pragmatic” and “fastidious” perspectives. Activists took the pragmatic approach and thought that the trial design should “incorporate the heterogeneity, occasional or frequent ambiguity, and other ‘messy’ aspects of our ordinary clinical practice” (Feinstein 1983, p. 545). In their view, medical research should respond to the pressing public health issues at hand and given the urgency of the AIDS epidemic, they felt that there was no time to wait for “pure” subjects. On the other hand, experts initially took a more fastidious methodological approach as they feared that the pragmatic strategy would yield a “messy” answer (ibid). They instead preferred “using homogenous groups, reducing or eliminating ambiguity, and avoiding the </w:t>
      </w:r>
      <w:proofErr w:type="spellStart"/>
      <w:r>
        <w:t>spectre</w:t>
      </w:r>
      <w:proofErr w:type="spellEnd"/>
      <w:r>
        <w:t xml:space="preserve"> of biased results” (ibid). </w:t>
      </w:r>
    </w:p>
    <w:p w14:paraId="37E67CC8" w14:textId="77777777" w:rsidR="00C43021" w:rsidRDefault="00C43021" w:rsidP="00C43021">
      <w:pPr>
        <w:ind w:firstLine="720"/>
      </w:pPr>
      <w:r>
        <w:lastRenderedPageBreak/>
        <w:t xml:space="preserve">Once activists established that their methodological critiques were credible, they were able to gain representation on NIH and FDA advisory committees, on institutional review boards at local hospitals and research centers, on community advisory boards established by pharmaceutical companies, and on a national board created by the Clinton administration, responsible for overseeing the entire course of AIDS research (Epstein, 1996). Eventually, AIDS activists became full partners in bringing effective antiretroviral drugs to the market in 1996. Through their efforts, they revolutionized how pharmaceutical sciences are practiced and today, patients of most diagnoses are involved in research through formal advisory boards. </w:t>
      </w:r>
    </w:p>
    <w:p w14:paraId="3AA84C5D" w14:textId="77777777" w:rsidR="00C43021" w:rsidRDefault="00C43021" w:rsidP="00C43021">
      <w:pPr>
        <w:ind w:firstLine="720"/>
      </w:pPr>
      <w:r>
        <w:t>There are many lessons to glean from the role activists played in AIDS research. By being receptive towards non-</w:t>
      </w:r>
      <w:proofErr w:type="gramStart"/>
      <w:r>
        <w:t>experts’</w:t>
      </w:r>
      <w:proofErr w:type="gramEnd"/>
      <w:r>
        <w:t xml:space="preserve"> methodological disagreements, researchers were able to increase the external validity of the AIDS clinical trials and bolster trust.</w:t>
      </w:r>
      <w:r>
        <w:t xml:space="preserve"> </w:t>
      </w:r>
      <w:r>
        <w:t>As AIDS activists themselves pointed out, methodological disagreements between experts and non-experts stemmed from different value-laden assumptions and not from a lack of understanding by non-experts. For this reason, John may object that the example doesn’t serve against his argument, since the methodological dispute wasn’t rooted in non-</w:t>
      </w:r>
      <w:proofErr w:type="gramStart"/>
      <w:r>
        <w:t>experts’</w:t>
      </w:r>
      <w:proofErr w:type="gramEnd"/>
      <w:r>
        <w:t xml:space="preserve"> folk philosophy of science. </w:t>
      </w:r>
    </w:p>
    <w:p w14:paraId="42145BBA" w14:textId="04C528B0" w:rsidR="00C43021" w:rsidRDefault="00C43021" w:rsidP="00C43021">
      <w:pPr>
        <w:ind w:firstLine="720"/>
      </w:pPr>
      <w:r>
        <w:t xml:space="preserve">However, notice how experts couldn’t have learned of these valid methodological critiques if transparent and honest communication wasn’t fostered between themselves and non-experts. In other words, John’s suggestion that scientists should consider the general publics’ views about scientific methodology </w:t>
      </w:r>
      <w:r>
        <w:rPr>
          <w:i/>
          <w:iCs/>
        </w:rPr>
        <w:t xml:space="preserve">before </w:t>
      </w:r>
      <w:r>
        <w:t>deciding whether to be transparent or not could have backfired here. If researchers followed John’s advice, it is plausible that they would have excluded dissenting activists from the conversation, fearing transparency may run contrary to non-</w:t>
      </w:r>
      <w:proofErr w:type="gramStart"/>
      <w:r>
        <w:t>experts’</w:t>
      </w:r>
      <w:proofErr w:type="gramEnd"/>
      <w:r>
        <w:t xml:space="preserve"> epistemic</w:t>
      </w:r>
      <w:r>
        <w:t xml:space="preserve"> interests. </w:t>
      </w:r>
    </w:p>
    <w:p w14:paraId="717FFAE0" w14:textId="77777777" w:rsidR="00C43021" w:rsidRDefault="00C43021" w:rsidP="00C43021">
      <w:pPr>
        <w:ind w:firstLine="720"/>
      </w:pPr>
      <w:r>
        <w:t xml:space="preserve">A final important note about the relationship between experts and non-experts for AIDS research is the following. Activists started as science novices in their initial interactions and involvement with experts. Yet, through the course of their conversations with experts, they developed detailed and sophisticated scientific knowledge. Overtime, activists found themselves comfortably conversing with researchers about “viral assays”, “reserve transcription”, “cytokine regulation” and “epitope mapping” (Epstein, 1996, p. 419). As a result, researchers felt even more compelled to consider activist arguments on their merits. This seems to imply that AIDS activists weren’t actually non-experts, as they gained fluency in the relevant medical and epidemiological concepts. But, once again, notice how an atmosphere of transparency and honest communication is what helped activists develop the necessary knowledge to converse comfortably with experts.  </w:t>
      </w:r>
    </w:p>
    <w:p w14:paraId="1AB69CC4" w14:textId="5A0B3C3C" w:rsidR="00C43021" w:rsidRDefault="00C43021" w:rsidP="00D77B0E">
      <w:pPr>
        <w:ind w:firstLine="720"/>
      </w:pPr>
      <w:r>
        <w:t xml:space="preserve">The example of AIDS research reveals how transparency can strengthen trust in science, despite methodological disagreement between experts and non-experts. In the next section, I will consider a set of other important sources for skepticism in science that will help us better understand when transparency is helpful versus not. </w:t>
      </w:r>
    </w:p>
    <w:p w14:paraId="7C12BFBB" w14:textId="76526563" w:rsidR="00D77B0E" w:rsidRDefault="00D77B0E" w:rsidP="00D77B0E"/>
    <w:p w14:paraId="52087BED" w14:textId="6226D124" w:rsidR="00D77B0E" w:rsidRDefault="00D77B0E" w:rsidP="00D77B0E">
      <w:pPr>
        <w:pStyle w:val="ListParagraph"/>
        <w:numPr>
          <w:ilvl w:val="0"/>
          <w:numId w:val="1"/>
        </w:numPr>
        <w:rPr>
          <w:rFonts w:ascii="Times New Roman" w:hAnsi="Times New Roman" w:cs="Times New Roman"/>
          <w:b/>
          <w:bCs/>
        </w:rPr>
      </w:pPr>
      <w:r w:rsidRPr="00D77B0E">
        <w:rPr>
          <w:rFonts w:ascii="Times New Roman" w:hAnsi="Times New Roman" w:cs="Times New Roman"/>
          <w:b/>
          <w:bCs/>
        </w:rPr>
        <w:t>Other factors that relate to transparency</w:t>
      </w:r>
    </w:p>
    <w:p w14:paraId="063243E6" w14:textId="7972537D" w:rsidR="00D77B0E" w:rsidRDefault="00D77B0E" w:rsidP="00D77B0E">
      <w:pPr>
        <w:rPr>
          <w:b/>
          <w:bCs/>
        </w:rPr>
      </w:pPr>
    </w:p>
    <w:p w14:paraId="3F66448A" w14:textId="3FA08E09" w:rsidR="00D77B0E" w:rsidRDefault="00D77B0E" w:rsidP="00D77B0E">
      <w:r>
        <w:t>The discussion of Climategate and vaccine skepticism is meant to show that the public’s folk philosophy of science isn’t the most salient factor to consider when determining the efficacy of transparency. Instead, the extent to which transparency initiatives are effective in fostering trust in science</w:t>
      </w:r>
      <w:r>
        <w:t xml:space="preserve"> depends less on how careful scientists are when communicating their work, and more instead on whether special interest groups are acting out of bad faith. Thus, we </w:t>
      </w:r>
      <w:r>
        <w:t xml:space="preserve">should ask ourselves two related questions: ‘has this scientific topic been politicized?’, and ‘are special </w:t>
      </w:r>
      <w:r>
        <w:lastRenderedPageBreak/>
        <w:t xml:space="preserve">interest groups playing a role in the dissemination of the scientific information?’ when deciding whether transparency on the part of the scientists will be effective or not. I will consider each of these questions in turn. </w:t>
      </w:r>
    </w:p>
    <w:p w14:paraId="44124E99" w14:textId="77777777" w:rsidR="00D77B0E" w:rsidRDefault="00D77B0E" w:rsidP="00D77B0E">
      <w:pPr>
        <w:ind w:firstLine="720"/>
      </w:pPr>
      <w:r>
        <w:t xml:space="preserve">First, we may ask ourselves ‘has this scientific topic been politicized?’. Consider how 70% of Democrats have a positive view of environmental researchers while only 40% of Republicans do. Furthermore, 47% of Democrats trust environmental scientists, </w:t>
      </w:r>
      <w:proofErr w:type="gramStart"/>
      <w:r>
        <w:t>whereas,</w:t>
      </w:r>
      <w:proofErr w:type="gramEnd"/>
      <w:r>
        <w:t xml:space="preserve"> only 19% of Republicans do (Funk et al., 2019). This discrepancy between Democrats and Republicans when it comes to trust in climate science is no accident—65% of Republicans trust FOX News, including its reporting on climate science (ibid). In contrast, 61% of Democrats </w:t>
      </w:r>
      <w:r>
        <w:rPr>
          <w:i/>
          <w:iCs/>
        </w:rPr>
        <w:t xml:space="preserve">distrust </w:t>
      </w:r>
      <w:r>
        <w:t xml:space="preserve">FOX News and this includes its reporting on climate science. Citing survey data, climate scientist and author of </w:t>
      </w:r>
      <w:r>
        <w:rPr>
          <w:i/>
          <w:iCs/>
        </w:rPr>
        <w:t xml:space="preserve">Climatology versus Pseudoscience </w:t>
      </w:r>
      <w:r>
        <w:t xml:space="preserve">Dana </w:t>
      </w:r>
      <w:proofErr w:type="spellStart"/>
      <w:r>
        <w:t>Nuccitelli</w:t>
      </w:r>
      <w:proofErr w:type="spellEnd"/>
      <w:r>
        <w:t xml:space="preserve"> writes:</w:t>
      </w:r>
    </w:p>
    <w:p w14:paraId="0D5E1063" w14:textId="77777777" w:rsidR="00D77B0E" w:rsidRDefault="00D77B0E" w:rsidP="00D77B0E"/>
    <w:p w14:paraId="6CA76068" w14:textId="77777777" w:rsidR="00D77B0E" w:rsidRDefault="00D77B0E" w:rsidP="00D77B0E">
      <w:pPr>
        <w:rPr>
          <w:color w:val="000000"/>
          <w:sz w:val="20"/>
          <w:szCs w:val="20"/>
          <w:shd w:val="clear" w:color="auto" w:fill="FFFFFF"/>
        </w:rPr>
      </w:pPr>
      <w:r w:rsidRPr="00831817">
        <w:rPr>
          <w:color w:val="000000"/>
          <w:sz w:val="20"/>
          <w:szCs w:val="20"/>
          <w:shd w:val="clear" w:color="auto" w:fill="FFFFFF"/>
        </w:rPr>
        <w:t>Republicans who watch Fox News are more than twice as likely to deny human-caused climate change than Republican non-viewers, and 62 percent of Republicans watch</w:t>
      </w:r>
      <w:r w:rsidRPr="00831817">
        <w:rPr>
          <w:i/>
          <w:iCs/>
          <w:color w:val="000000"/>
          <w:sz w:val="20"/>
          <w:szCs w:val="20"/>
          <w:shd w:val="clear" w:color="auto" w:fill="FFFFFF"/>
        </w:rPr>
        <w:t> </w:t>
      </w:r>
      <w:r w:rsidRPr="00831817">
        <w:rPr>
          <w:color w:val="000000"/>
          <w:sz w:val="20"/>
          <w:szCs w:val="20"/>
          <w:shd w:val="clear" w:color="auto" w:fill="FFFFFF"/>
        </w:rPr>
        <w:t>Fox News</w:t>
      </w:r>
      <w:r>
        <w:rPr>
          <w:color w:val="000000"/>
          <w:sz w:val="20"/>
          <w:szCs w:val="20"/>
          <w:shd w:val="clear" w:color="auto" w:fill="FFFFFF"/>
        </w:rPr>
        <w:t xml:space="preserve">… [this data] </w:t>
      </w:r>
      <w:r w:rsidRPr="00831817">
        <w:rPr>
          <w:color w:val="000000"/>
          <w:sz w:val="20"/>
          <w:szCs w:val="20"/>
          <w:shd w:val="clear" w:color="auto" w:fill="FFFFFF"/>
        </w:rPr>
        <w:t>suggests that the presence of Fox News and other conservative media outlets may be the primary explanation for why climate denial is more prevalent in the United States than in other developed countries</w:t>
      </w:r>
      <w:r>
        <w:rPr>
          <w:color w:val="000000"/>
          <w:sz w:val="20"/>
          <w:szCs w:val="20"/>
          <w:shd w:val="clear" w:color="auto" w:fill="FFFFFF"/>
        </w:rPr>
        <w:t xml:space="preserve"> (Bulletin of the Atomic Scientists, 2019). </w:t>
      </w:r>
    </w:p>
    <w:p w14:paraId="6C2A69B1" w14:textId="77777777" w:rsidR="00D77B0E" w:rsidRDefault="00D77B0E" w:rsidP="00D77B0E">
      <w:pPr>
        <w:rPr>
          <w:color w:val="000000"/>
          <w:sz w:val="20"/>
          <w:szCs w:val="20"/>
          <w:shd w:val="clear" w:color="auto" w:fill="FFFFFF"/>
        </w:rPr>
      </w:pPr>
    </w:p>
    <w:p w14:paraId="3225AB81" w14:textId="77777777" w:rsidR="00D77B0E" w:rsidRDefault="00D77B0E" w:rsidP="00D77B0E">
      <w:pPr>
        <w:rPr>
          <w:color w:val="000000"/>
          <w:shd w:val="clear" w:color="auto" w:fill="FFFFFF"/>
        </w:rPr>
      </w:pPr>
      <w:r>
        <w:rPr>
          <w:color w:val="000000"/>
          <w:shd w:val="clear" w:color="auto" w:fill="FFFFFF"/>
        </w:rPr>
        <w:t xml:space="preserve">A common strategy in the politicization of science is to have actors emphasize the inherent uncertainty of science to cast doubt on the existence of a scientific consensus. This results in citizens dismissing credible scientific information and undermines the positive role that science can play in informing political debates on issues with substantial scientific content (Dietz, 2013). This strategy has been shown to be extremely effective. </w:t>
      </w:r>
      <w:proofErr w:type="spellStart"/>
      <w:r>
        <w:rPr>
          <w:color w:val="000000"/>
          <w:shd w:val="clear" w:color="auto" w:fill="FFFFFF"/>
        </w:rPr>
        <w:t>Bolsen</w:t>
      </w:r>
      <w:proofErr w:type="spellEnd"/>
      <w:r>
        <w:rPr>
          <w:color w:val="000000"/>
          <w:shd w:val="clear" w:color="auto" w:fill="FFFFFF"/>
        </w:rPr>
        <w:t xml:space="preserve"> and </w:t>
      </w:r>
      <w:proofErr w:type="spellStart"/>
      <w:r>
        <w:rPr>
          <w:color w:val="000000"/>
          <w:shd w:val="clear" w:color="auto" w:fill="FFFFFF"/>
        </w:rPr>
        <w:t>Druckman</w:t>
      </w:r>
      <w:proofErr w:type="spellEnd"/>
      <w:r>
        <w:rPr>
          <w:color w:val="000000"/>
          <w:shd w:val="clear" w:color="auto" w:fill="FFFFFF"/>
        </w:rPr>
        <w:t xml:space="preserve"> (2015) tested the effects of politicization of scientific information by surveying 2,484 Americans about two relatively new energy technologies. The first survey asked participants about CNTs, which are tiny graphite tubes that convert sunlight into electricity and thus offer a novel method to obtain energy from an alternative source (N=1,256). Surveys suggested that nearly half of the US population knew virtually nothing about CNTs at the time. The other survey concerned hydraulic fracturing or fracking (N=1,228). Although more Americans knew about fracking than CNTs, survey data indicated that most Americans in 2014 were “largely unaware and undecided about this issue” (</w:t>
      </w:r>
      <w:proofErr w:type="spellStart"/>
      <w:r>
        <w:rPr>
          <w:color w:val="000000"/>
          <w:shd w:val="clear" w:color="auto" w:fill="FFFFFF"/>
        </w:rPr>
        <w:t>Boudet</w:t>
      </w:r>
      <w:proofErr w:type="spellEnd"/>
      <w:r>
        <w:rPr>
          <w:color w:val="000000"/>
          <w:shd w:val="clear" w:color="auto" w:fill="FFFFFF"/>
        </w:rPr>
        <w:t xml:space="preserve"> et al., 2014, p. 63). </w:t>
      </w:r>
    </w:p>
    <w:p w14:paraId="6A31459C" w14:textId="77777777" w:rsidR="00D77B0E" w:rsidRDefault="00D77B0E" w:rsidP="00D77B0E">
      <w:pPr>
        <w:ind w:firstLine="720"/>
        <w:rPr>
          <w:color w:val="000000"/>
          <w:shd w:val="clear" w:color="auto" w:fill="FFFFFF"/>
        </w:rPr>
      </w:pPr>
      <w:r>
        <w:rPr>
          <w:color w:val="000000"/>
          <w:shd w:val="clear" w:color="auto" w:fill="FFFFFF"/>
        </w:rPr>
        <w:t xml:space="preserve">Participants were then assigned to one of 6 different conditions, though I will discuss just the first 3 conditions. For condition 1, no information about either technology was given and participants were simply asked to report on the extent of support for the use of CNTs or fracking. For condition 1, only 17% of the participants supported fracking and 22% CNTs. For condition 2, they presented the technologies as if there was general scientific support for their use. This condition was meant to test the effect of scientific consensus </w:t>
      </w:r>
      <w:r>
        <w:rPr>
          <w:i/>
          <w:iCs/>
          <w:color w:val="000000"/>
          <w:shd w:val="clear" w:color="auto" w:fill="FFFFFF"/>
        </w:rPr>
        <w:t xml:space="preserve">without </w:t>
      </w:r>
      <w:r>
        <w:rPr>
          <w:color w:val="000000"/>
          <w:shd w:val="clear" w:color="auto" w:fill="FFFFFF"/>
        </w:rPr>
        <w:t xml:space="preserve">politicization. Here they found that 95% of participants supported fracking and 94% supported CNTs. Finally, the third condition added a statement that accentuated politicization such as </w:t>
      </w:r>
    </w:p>
    <w:p w14:paraId="7F485207" w14:textId="77777777" w:rsidR="00D77B0E" w:rsidRDefault="00D77B0E" w:rsidP="00D77B0E">
      <w:pPr>
        <w:rPr>
          <w:color w:val="000000"/>
          <w:shd w:val="clear" w:color="auto" w:fill="FFFFFF"/>
        </w:rPr>
      </w:pPr>
    </w:p>
    <w:p w14:paraId="147FC703" w14:textId="77777777" w:rsidR="00D77B0E" w:rsidRDefault="00D77B0E" w:rsidP="00D77B0E">
      <w:pPr>
        <w:rPr>
          <w:sz w:val="20"/>
          <w:szCs w:val="20"/>
        </w:rPr>
      </w:pPr>
      <w:r w:rsidRPr="00D02E1D">
        <w:rPr>
          <w:color w:val="000000"/>
          <w:sz w:val="20"/>
          <w:szCs w:val="20"/>
          <w:shd w:val="clear" w:color="auto" w:fill="FFFFFF"/>
        </w:rPr>
        <w:t xml:space="preserve">yet, importantly, </w:t>
      </w:r>
      <w:r w:rsidRPr="006D2A01">
        <w:rPr>
          <w:sz w:val="20"/>
          <w:szCs w:val="20"/>
        </w:rPr>
        <w:t>politics nearly always color scientific work, with advocates selectively using evidence. This leads many to say it is unclear whether to believe scientific evidence related to debates over CNTs</w:t>
      </w:r>
      <w:r w:rsidRPr="00D02E1D">
        <w:rPr>
          <w:sz w:val="20"/>
          <w:szCs w:val="20"/>
        </w:rPr>
        <w:t xml:space="preserve"> [or fracking]</w:t>
      </w:r>
      <w:r w:rsidRPr="006D2A01">
        <w:rPr>
          <w:sz w:val="20"/>
          <w:szCs w:val="20"/>
        </w:rPr>
        <w:t>. Some argue the process leads to pollution that harms the environment, while others disagree, pointing to evidence that there are minimal or no negative environmental consequence</w:t>
      </w:r>
      <w:r w:rsidRPr="00D02E1D">
        <w:rPr>
          <w:sz w:val="20"/>
          <w:szCs w:val="20"/>
        </w:rPr>
        <w:t xml:space="preserve">s (p. 754). </w:t>
      </w:r>
    </w:p>
    <w:p w14:paraId="05028A4C" w14:textId="77777777" w:rsidR="00D77B0E" w:rsidRDefault="00D77B0E" w:rsidP="00D77B0E">
      <w:pPr>
        <w:rPr>
          <w:sz w:val="20"/>
          <w:szCs w:val="20"/>
        </w:rPr>
      </w:pPr>
    </w:p>
    <w:p w14:paraId="4D802EAB" w14:textId="533FF4CF" w:rsidR="00D77B0E" w:rsidRDefault="00D77B0E" w:rsidP="00D77B0E">
      <w:r>
        <w:t xml:space="preserve">With the politicization condition only 4% of participants supported fracking and 17% CNTs. What this seems to imply is that the general public is likely to trust the consensus views of scientists and the politicization of science plays an important causal role in generating skepticism. </w:t>
      </w:r>
    </w:p>
    <w:p w14:paraId="1FF6CB57" w14:textId="77777777" w:rsidR="00D77B0E" w:rsidRDefault="00D77B0E" w:rsidP="00D77B0E">
      <w:pPr>
        <w:ind w:firstLine="720"/>
      </w:pPr>
      <w:r>
        <w:lastRenderedPageBreak/>
        <w:t>This leads to the second question ‘are special interest groups playing a role in the dissemination of scientific information?’. As we saw with the examples of climate change and vaccine skepticism, special interest groups did play a role in manufacturing doubt. This third question is directly related to the politicization of science because often times special interest groups have political motives. For example, politically motivated think-tanks such as the American Enterprise Institute and the George Marshall Institute have been active in promoting a message that is at odds with the consensus view on climate change (</w:t>
      </w:r>
      <w:proofErr w:type="spellStart"/>
      <w:r>
        <w:t>Gelbspan</w:t>
      </w:r>
      <w:proofErr w:type="spellEnd"/>
      <w:r>
        <w:t xml:space="preserve"> 1997, 2004; Oreskes and Conway, 2010). These organizations have helped scientists who disagree with the mainstream view get media attention and airtime on right-leaning political news networks like FOX News (ibid). </w:t>
      </w:r>
    </w:p>
    <w:p w14:paraId="59E3793C" w14:textId="77777777" w:rsidR="00D77B0E" w:rsidRDefault="00D77B0E" w:rsidP="00D77B0E">
      <w:r>
        <w:tab/>
        <w:t xml:space="preserve">It is important to note that special interest groups are often utilized by the private sector as well. When scientific claims contradict the financial motives of certain industries, special interest groups are hired to manufacture doubt. Returning to the example of climate change, the message of scientific uncertainty was reinforced by the public relations campaign of corporations that have a stake in the issue. For example, ExxonMobil has spent at least $16 million between 1998 and 2005 to fund a network of 40 think tanks and special interest groups to manufacture doubt about climate science (Union of Concerned Scientists, 2007). </w:t>
      </w:r>
    </w:p>
    <w:p w14:paraId="1F6D70C8" w14:textId="7B751D67" w:rsidR="00D77B0E" w:rsidRDefault="00D77B0E" w:rsidP="003E083A">
      <w:pPr>
        <w:ind w:firstLine="720"/>
      </w:pPr>
      <w:r>
        <w:t>We cannot determine what effect the general public’s misconceptions about scientific methodology have on their appreciation of transparent scientific information until we are sure that scientific information is being disseminated in an objective, honest way.</w:t>
      </w:r>
      <w:r>
        <w:t xml:space="preserve"> Thus, the philosophical debate concerning transparency shouldn’t center on how non-experts process scientific information. When determining whether transparency will be effective in promoting trust in science, we should first answer the two more basic question presented in this section. Moreover, even if transparency might be used by propogandists in these nefarious ways, the right advice isn’t to make science less transparent. Instead, we </w:t>
      </w:r>
      <w:r w:rsidR="003E083A">
        <w:t>should be dealing with these malicious actors more directly.</w:t>
      </w:r>
    </w:p>
    <w:p w14:paraId="56F5F4F3" w14:textId="34C2E3EC" w:rsidR="003E083A" w:rsidRDefault="003E083A" w:rsidP="003E083A"/>
    <w:p w14:paraId="33AE9FD0" w14:textId="3540A501" w:rsidR="003E083A" w:rsidRPr="003E083A" w:rsidRDefault="003E083A" w:rsidP="003E083A">
      <w:pPr>
        <w:pStyle w:val="ListParagraph"/>
        <w:numPr>
          <w:ilvl w:val="0"/>
          <w:numId w:val="1"/>
        </w:numPr>
        <w:rPr>
          <w:rFonts w:ascii="Times New Roman" w:hAnsi="Times New Roman" w:cs="Times New Roman"/>
          <w:b/>
          <w:bCs/>
        </w:rPr>
      </w:pPr>
      <w:r w:rsidRPr="003E083A">
        <w:rPr>
          <w:rFonts w:ascii="Times New Roman" w:hAnsi="Times New Roman" w:cs="Times New Roman"/>
          <w:b/>
          <w:bCs/>
        </w:rPr>
        <w:t xml:space="preserve">Conclusion </w:t>
      </w:r>
    </w:p>
    <w:p w14:paraId="0B495F0D" w14:textId="18D03663" w:rsidR="003E083A" w:rsidRDefault="003E083A" w:rsidP="003E083A"/>
    <w:p w14:paraId="7B682898" w14:textId="151A2400" w:rsidR="009B026D" w:rsidRDefault="009B026D" w:rsidP="009B026D">
      <w:r>
        <w:t>I have shown that the existence of bad faith actors serves as a defeater for John’s interpretation of the Climategate case study. I then presented examples that instead support the idea that how scientists communicate their work isn’t what matters most when it comes to public trust in science. More specifically, t</w:t>
      </w:r>
      <w:r>
        <w:t>he vaccine example indicates that skepticism occurs even when scientists are working in ways that correspond to non-experts’ idealized methodological assumptions. Although this doesn’t serve as a knockdown argument against John’s general claim, it illustrates how there are other more influential factors for science skepticism besides non-</w:t>
      </w:r>
      <w:proofErr w:type="gramStart"/>
      <w:r>
        <w:t>experts’</w:t>
      </w:r>
      <w:proofErr w:type="gramEnd"/>
      <w:r>
        <w:t xml:space="preserve"> methodological misconceptions. Alternatively, the example of AIDS research shows that contrary what John claims, transparency can actually strengthen trust in science when experts and non-experts disagree on methodology. In general, both examples suggest that focusing on one influential factor, such as non-</w:t>
      </w:r>
      <w:proofErr w:type="gramStart"/>
      <w:r>
        <w:t>experts’</w:t>
      </w:r>
      <w:proofErr w:type="gramEnd"/>
      <w:r>
        <w:t xml:space="preserve"> methodological assumptions, will not help us derive a comprehensive account of the efficacy of transparency.</w:t>
      </w:r>
    </w:p>
    <w:p w14:paraId="65EA3F03" w14:textId="1E9E6DD7" w:rsidR="009B026D" w:rsidRDefault="009B026D" w:rsidP="009B026D">
      <w:pPr>
        <w:ind w:firstLine="720"/>
      </w:pPr>
      <w:r w:rsidRPr="00FB0F48">
        <w:t xml:space="preserve">Transparency as a method of garnering trust in science can only work if the public is receiving their information from scientists themselves. However, most Americans do not receive their scientific knowledge directly from science journals and organizations. Instead, news media is the common source of scientific information and as discussed, many popular news outlets in the United States either lean conservative or liberal. This is problematic, since the politization of </w:t>
      </w:r>
      <w:r w:rsidRPr="00FB0F48">
        <w:lastRenderedPageBreak/>
        <w:t>science undermines the impact of positive consensual scientific information. Additionally, special interest groups with political or corporate interests manufacture doubt by making it seem as though there isn’t scientific consensus in cases where there is</w:t>
      </w:r>
      <w:r>
        <w:t xml:space="preserve">. </w:t>
      </w:r>
    </w:p>
    <w:p w14:paraId="68CF1B2A" w14:textId="32C6F39F" w:rsidR="000E56E3" w:rsidRDefault="009B026D" w:rsidP="009B026D">
      <w:pPr>
        <w:ind w:firstLine="720"/>
      </w:pPr>
      <w:r>
        <w:t xml:space="preserve">All of these factors are relevant to the transparency debate. </w:t>
      </w:r>
      <w:r w:rsidR="000E56E3">
        <w:t xml:space="preserve">Thus, instead of myopically focusing on the general public’s methodological assumptions or scientists’ communication mishaps, we should expand our analysis to include the epistemic and political environment in which scientific information is communicated. This will hopefully allow us to develop more direct and comprehensive solutions to </w:t>
      </w:r>
      <w:r w:rsidR="00D21639">
        <w:t xml:space="preserve">the issue of </w:t>
      </w:r>
      <w:r w:rsidR="000E56E3">
        <w:t xml:space="preserve">public mistrust in science. </w:t>
      </w:r>
    </w:p>
    <w:p w14:paraId="2061657F" w14:textId="77777777" w:rsidR="000E56E3" w:rsidRDefault="000E56E3" w:rsidP="009B026D">
      <w:pPr>
        <w:ind w:firstLine="720"/>
      </w:pPr>
    </w:p>
    <w:p w14:paraId="5B2E69D1" w14:textId="77777777" w:rsidR="009B026D" w:rsidRPr="00FB0F48" w:rsidRDefault="009B026D" w:rsidP="009B026D">
      <w:pPr>
        <w:ind w:firstLine="720"/>
      </w:pPr>
    </w:p>
    <w:p w14:paraId="06C34471" w14:textId="77777777" w:rsidR="003E083A" w:rsidRDefault="003E083A" w:rsidP="003E083A"/>
    <w:p w14:paraId="579F93D2" w14:textId="77777777" w:rsidR="00D77B0E" w:rsidRDefault="00D77B0E" w:rsidP="00D77B0E"/>
    <w:p w14:paraId="31F9DE1E" w14:textId="51603BAC" w:rsidR="00D77B0E" w:rsidRPr="00D77B0E" w:rsidRDefault="00D77B0E" w:rsidP="00D77B0E"/>
    <w:p w14:paraId="12C0BDCD" w14:textId="1A5874DA" w:rsidR="001A60BD" w:rsidRDefault="001A60BD" w:rsidP="0081548C"/>
    <w:p w14:paraId="4E877E1A" w14:textId="3EFD7A0C" w:rsidR="0081548C" w:rsidRDefault="0081548C" w:rsidP="0081548C"/>
    <w:p w14:paraId="7707BFC8" w14:textId="77777777" w:rsidR="0081548C" w:rsidRDefault="0081548C" w:rsidP="0081548C"/>
    <w:sectPr w:rsidR="0081548C" w:rsidSect="008744C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AE4778" w14:textId="77777777" w:rsidR="00E33BFC" w:rsidRDefault="00E33BFC" w:rsidP="00C43021">
      <w:r>
        <w:separator/>
      </w:r>
    </w:p>
  </w:endnote>
  <w:endnote w:type="continuationSeparator" w:id="0">
    <w:p w14:paraId="194A77E5" w14:textId="77777777" w:rsidR="00E33BFC" w:rsidRDefault="00E33BFC" w:rsidP="00C43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FE14BA" w14:textId="77777777" w:rsidR="00E33BFC" w:rsidRDefault="00E33BFC" w:rsidP="00C43021">
      <w:r>
        <w:separator/>
      </w:r>
    </w:p>
  </w:footnote>
  <w:footnote w:type="continuationSeparator" w:id="0">
    <w:p w14:paraId="773FED31" w14:textId="77777777" w:rsidR="00E33BFC" w:rsidRDefault="00E33BFC" w:rsidP="00C43021">
      <w:r>
        <w:continuationSeparator/>
      </w:r>
    </w:p>
  </w:footnote>
  <w:footnote w:id="1">
    <w:p w14:paraId="582441B7" w14:textId="77777777" w:rsidR="00C43021" w:rsidRPr="00DA0E99" w:rsidRDefault="00C43021" w:rsidP="00C43021">
      <w:r w:rsidRPr="00DA0E99">
        <w:rPr>
          <w:rStyle w:val="FootnoteReference"/>
        </w:rPr>
        <w:footnoteRef/>
      </w:r>
      <w:r w:rsidRPr="00DA0E99">
        <w:t xml:space="preserve"> </w:t>
      </w:r>
      <w:r w:rsidRPr="00DA0E99">
        <w:rPr>
          <w:sz w:val="20"/>
          <w:szCs w:val="20"/>
          <w:shd w:val="clear" w:color="auto" w:fill="FFFFFF"/>
        </w:rPr>
        <w:t>Ileal-lymphoid-nodular hyperplasia, non-specific colitis, and pervasive developmental disorder in children.</w:t>
      </w:r>
      <w:r w:rsidRPr="00DA0E99">
        <w:t xml:space="preserve"> </w:t>
      </w:r>
      <w:r w:rsidRPr="00DA0E99">
        <w:rPr>
          <w:i/>
          <w:iCs/>
          <w:sz w:val="20"/>
          <w:szCs w:val="20"/>
        </w:rPr>
        <w:t xml:space="preserve">Wakefield AJ, Murch SH, Anthony A, Linnell J, Casson DM, Malik M, </w:t>
      </w:r>
      <w:proofErr w:type="spellStart"/>
      <w:r w:rsidRPr="00DA0E99">
        <w:rPr>
          <w:i/>
          <w:iCs/>
          <w:sz w:val="20"/>
          <w:szCs w:val="20"/>
        </w:rPr>
        <w:t>Berelowitz</w:t>
      </w:r>
      <w:proofErr w:type="spellEnd"/>
      <w:r w:rsidRPr="00DA0E99">
        <w:rPr>
          <w:i/>
          <w:iCs/>
          <w:sz w:val="20"/>
          <w:szCs w:val="20"/>
        </w:rPr>
        <w:t xml:space="preserve"> M, Dhillon AP, Thomson MA, Harvey P, Valentine A, Davies SE, Walker-Smith JA</w:t>
      </w:r>
    </w:p>
    <w:p w14:paraId="01F9FF46" w14:textId="77777777" w:rsidR="00C43021" w:rsidRPr="007A7EA2" w:rsidRDefault="00C43021" w:rsidP="00C43021">
      <w:pPr>
        <w:rPr>
          <w:i/>
          <w:iCs/>
          <w:color w:val="303030"/>
          <w:sz w:val="20"/>
          <w:szCs w:val="20"/>
        </w:rPr>
      </w:pPr>
      <w:r w:rsidRPr="00DA0E99">
        <w:rPr>
          <w:i/>
          <w:iCs/>
          <w:sz w:val="20"/>
          <w:szCs w:val="20"/>
        </w:rPr>
        <w:t>Lancet. 1998 Feb 28; 351(9103):637-41.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EE1BE8"/>
    <w:multiLevelType w:val="hybridMultilevel"/>
    <w:tmpl w:val="C8B20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8032DB"/>
    <w:multiLevelType w:val="hybridMultilevel"/>
    <w:tmpl w:val="C8B20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535"/>
    <w:rsid w:val="000E56E3"/>
    <w:rsid w:val="001A60BD"/>
    <w:rsid w:val="003E083A"/>
    <w:rsid w:val="00493526"/>
    <w:rsid w:val="0072536F"/>
    <w:rsid w:val="0081548C"/>
    <w:rsid w:val="00840767"/>
    <w:rsid w:val="00856ECD"/>
    <w:rsid w:val="008744C9"/>
    <w:rsid w:val="00912773"/>
    <w:rsid w:val="009B026D"/>
    <w:rsid w:val="00C43021"/>
    <w:rsid w:val="00D12535"/>
    <w:rsid w:val="00D21639"/>
    <w:rsid w:val="00D77B0E"/>
    <w:rsid w:val="00E048BC"/>
    <w:rsid w:val="00E33BFC"/>
    <w:rsid w:val="00F26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F2230B"/>
  <w15:chartTrackingRefBased/>
  <w15:docId w15:val="{77503A9E-5E8D-E148-8964-FAD10E251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0BD"/>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60BD"/>
    <w:pPr>
      <w:ind w:left="720"/>
      <w:contextualSpacing/>
    </w:pPr>
    <w:rPr>
      <w:rFonts w:asciiTheme="minorHAnsi" w:eastAsiaTheme="minorHAnsi" w:hAnsiTheme="minorHAnsi" w:cstheme="minorBidi"/>
    </w:rPr>
  </w:style>
  <w:style w:type="character" w:styleId="FootnoteReference">
    <w:name w:val="footnote reference"/>
    <w:basedOn w:val="DefaultParagraphFont"/>
    <w:uiPriority w:val="99"/>
    <w:semiHidden/>
    <w:unhideWhenUsed/>
    <w:rsid w:val="00C43021"/>
    <w:rPr>
      <w:vertAlign w:val="superscript"/>
    </w:rPr>
  </w:style>
  <w:style w:type="character" w:styleId="CommentReference">
    <w:name w:val="annotation reference"/>
    <w:basedOn w:val="DefaultParagraphFont"/>
    <w:uiPriority w:val="99"/>
    <w:semiHidden/>
    <w:unhideWhenUsed/>
    <w:rsid w:val="00D77B0E"/>
    <w:rPr>
      <w:sz w:val="16"/>
      <w:szCs w:val="16"/>
    </w:rPr>
  </w:style>
  <w:style w:type="paragraph" w:styleId="CommentText">
    <w:name w:val="annotation text"/>
    <w:basedOn w:val="Normal"/>
    <w:link w:val="CommentTextChar"/>
    <w:uiPriority w:val="99"/>
    <w:semiHidden/>
    <w:unhideWhenUsed/>
    <w:rsid w:val="00D77B0E"/>
    <w:rPr>
      <w:sz w:val="20"/>
      <w:szCs w:val="20"/>
    </w:rPr>
  </w:style>
  <w:style w:type="character" w:customStyle="1" w:styleId="CommentTextChar">
    <w:name w:val="Comment Text Char"/>
    <w:basedOn w:val="DefaultParagraphFont"/>
    <w:link w:val="CommentText"/>
    <w:uiPriority w:val="99"/>
    <w:semiHidden/>
    <w:rsid w:val="00D77B0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77B0E"/>
    <w:rPr>
      <w:b/>
      <w:bCs/>
    </w:rPr>
  </w:style>
  <w:style w:type="character" w:customStyle="1" w:styleId="CommentSubjectChar">
    <w:name w:val="Comment Subject Char"/>
    <w:basedOn w:val="CommentTextChar"/>
    <w:link w:val="CommentSubject"/>
    <w:uiPriority w:val="99"/>
    <w:semiHidden/>
    <w:rsid w:val="00D77B0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13</Pages>
  <Words>7225</Words>
  <Characters>39668</Characters>
  <Application>Microsoft Office Word</Application>
  <DocSecurity>0</DocSecurity>
  <Lines>610</Lines>
  <Paragraphs>71</Paragraphs>
  <ScaleCrop>false</ScaleCrop>
  <Company/>
  <LinksUpToDate>false</LinksUpToDate>
  <CharactersWithSpaces>46822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Kassam, Alysha</dc:creator>
  <cp:keywords/>
  <dc:description/>
  <cp:lastModifiedBy>Kassam, Alysha</cp:lastModifiedBy>
  <cp:revision>22</cp:revision>
  <dcterms:created xsi:type="dcterms:W3CDTF">2021-02-17T19:42:00Z</dcterms:created>
  <dcterms:modified xsi:type="dcterms:W3CDTF">2021-02-19T00:11:00Z</dcterms:modified>
</cp:coreProperties>
</file>